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69972D00" w:rsidR="00124D3F" w:rsidRPr="00124D3F" w:rsidRDefault="00124D3F" w:rsidP="00124D3F">
      <w:pPr>
        <w:pStyle w:val="Title"/>
      </w:pPr>
      <w:r w:rsidRPr="00124D3F">
        <w:t xml:space="preserve">Security </w:t>
      </w:r>
      <w:r w:rsidR="000D32BA">
        <w:t>Procedure</w:t>
      </w:r>
    </w:p>
    <w:p w14:paraId="188B12EC" w14:textId="77777777" w:rsidR="00124D3F" w:rsidRPr="00C553E7" w:rsidRDefault="00124D3F" w:rsidP="00124D3F"/>
    <w:p w14:paraId="2A61A6AD" w14:textId="4B96A50E" w:rsidR="00124D3F" w:rsidRPr="00124D3F" w:rsidRDefault="003B5610" w:rsidP="00124D3F">
      <w:pPr>
        <w:pStyle w:val="Subtitle"/>
      </w:pPr>
      <w:r>
        <w:t>Audit &amp; Accountability</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1E0FC874" w14:textId="77777777" w:rsidR="00751E23" w:rsidRPr="002317F3" w:rsidRDefault="00751E23" w:rsidP="00751E23">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64C4E85F" w:rsidR="00124D3F" w:rsidRPr="002B4D88" w:rsidRDefault="00751E23"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070D1ABE" w:rsidR="00124D3F" w:rsidRPr="002B4D88" w:rsidRDefault="00124D3F" w:rsidP="002B4D88">
            <w:pPr>
              <w:pStyle w:val="TableBody"/>
            </w:pPr>
            <w:r w:rsidRPr="002B4D88">
              <w:t>Published A</w:t>
            </w:r>
            <w:r w:rsidR="003B5610">
              <w:t xml:space="preserve">U </w:t>
            </w:r>
            <w:r w:rsidRPr="002B4D88">
              <w:t>P</w:t>
            </w:r>
            <w:r w:rsidR="000D32BA">
              <w:t>rocedure</w:t>
            </w:r>
          </w:p>
        </w:tc>
        <w:tc>
          <w:tcPr>
            <w:tcW w:w="1851" w:type="dxa"/>
          </w:tcPr>
          <w:p w14:paraId="29B2D09D" w14:textId="6A26174E" w:rsidR="00124D3F" w:rsidRPr="002B4D88" w:rsidRDefault="00124D3F" w:rsidP="002B4D88">
            <w:pPr>
              <w:pStyle w:val="TableBody"/>
            </w:pPr>
            <w:r w:rsidRPr="002B4D88">
              <w:t xml:space="preserve">Noah Brown, </w:t>
            </w:r>
            <w:r w:rsidR="00751E23">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551A23F7" w14:textId="43FCA482" w:rsidR="002C16AA"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8968" w:history="1">
            <w:r w:rsidR="002C16AA" w:rsidRPr="0050670D">
              <w:rPr>
                <w:rStyle w:val="Hyperlink"/>
              </w:rPr>
              <w:t>1</w:t>
            </w:r>
            <w:r w:rsidR="002C16AA">
              <w:rPr>
                <w:rFonts w:eastAsiaTheme="minorEastAsia" w:cstheme="minorBidi"/>
                <w:bCs w:val="0"/>
                <w:color w:val="auto"/>
                <w:szCs w:val="22"/>
              </w:rPr>
              <w:tab/>
            </w:r>
            <w:r w:rsidR="002C16AA" w:rsidRPr="0050670D">
              <w:rPr>
                <w:rStyle w:val="Hyperlink"/>
              </w:rPr>
              <w:t>Introduction</w:t>
            </w:r>
            <w:r w:rsidR="002C16AA">
              <w:rPr>
                <w:webHidden/>
              </w:rPr>
              <w:tab/>
            </w:r>
            <w:r w:rsidR="002C16AA">
              <w:rPr>
                <w:webHidden/>
              </w:rPr>
              <w:fldChar w:fldCharType="begin"/>
            </w:r>
            <w:r w:rsidR="002C16AA">
              <w:rPr>
                <w:webHidden/>
              </w:rPr>
              <w:instrText xml:space="preserve"> PAGEREF _Toc68598968 \h </w:instrText>
            </w:r>
            <w:r w:rsidR="002C16AA">
              <w:rPr>
                <w:webHidden/>
              </w:rPr>
            </w:r>
            <w:r w:rsidR="002C16AA">
              <w:rPr>
                <w:webHidden/>
              </w:rPr>
              <w:fldChar w:fldCharType="separate"/>
            </w:r>
            <w:r w:rsidR="002C16AA">
              <w:rPr>
                <w:webHidden/>
              </w:rPr>
              <w:t>1</w:t>
            </w:r>
            <w:r w:rsidR="002C16AA">
              <w:rPr>
                <w:webHidden/>
              </w:rPr>
              <w:fldChar w:fldCharType="end"/>
            </w:r>
          </w:hyperlink>
        </w:p>
        <w:p w14:paraId="66E29B76" w14:textId="33BBE44E" w:rsidR="002C16AA" w:rsidRDefault="00D738FC">
          <w:pPr>
            <w:pStyle w:val="TOC1"/>
            <w:rPr>
              <w:rFonts w:eastAsiaTheme="minorEastAsia" w:cstheme="minorBidi"/>
              <w:bCs w:val="0"/>
              <w:color w:val="auto"/>
              <w:szCs w:val="22"/>
            </w:rPr>
          </w:pPr>
          <w:hyperlink w:anchor="_Toc68598969" w:history="1">
            <w:r w:rsidR="002C16AA" w:rsidRPr="0050670D">
              <w:rPr>
                <w:rStyle w:val="Hyperlink"/>
              </w:rPr>
              <w:t>2</w:t>
            </w:r>
            <w:r w:rsidR="002C16AA">
              <w:rPr>
                <w:rFonts w:eastAsiaTheme="minorEastAsia" w:cstheme="minorBidi"/>
                <w:bCs w:val="0"/>
                <w:color w:val="auto"/>
                <w:szCs w:val="22"/>
              </w:rPr>
              <w:tab/>
            </w:r>
            <w:r w:rsidR="002C16AA" w:rsidRPr="0050670D">
              <w:rPr>
                <w:rStyle w:val="Hyperlink"/>
              </w:rPr>
              <w:t>Purpose</w:t>
            </w:r>
            <w:r w:rsidR="002C16AA">
              <w:rPr>
                <w:webHidden/>
              </w:rPr>
              <w:tab/>
            </w:r>
            <w:r w:rsidR="002C16AA">
              <w:rPr>
                <w:webHidden/>
              </w:rPr>
              <w:fldChar w:fldCharType="begin"/>
            </w:r>
            <w:r w:rsidR="002C16AA">
              <w:rPr>
                <w:webHidden/>
              </w:rPr>
              <w:instrText xml:space="preserve"> PAGEREF _Toc68598969 \h </w:instrText>
            </w:r>
            <w:r w:rsidR="002C16AA">
              <w:rPr>
                <w:webHidden/>
              </w:rPr>
            </w:r>
            <w:r w:rsidR="002C16AA">
              <w:rPr>
                <w:webHidden/>
              </w:rPr>
              <w:fldChar w:fldCharType="separate"/>
            </w:r>
            <w:r w:rsidR="002C16AA">
              <w:rPr>
                <w:webHidden/>
              </w:rPr>
              <w:t>1</w:t>
            </w:r>
            <w:r w:rsidR="002C16AA">
              <w:rPr>
                <w:webHidden/>
              </w:rPr>
              <w:fldChar w:fldCharType="end"/>
            </w:r>
          </w:hyperlink>
        </w:p>
        <w:p w14:paraId="1E72EAD1" w14:textId="2EAB8546" w:rsidR="002C16AA" w:rsidRDefault="00D738FC">
          <w:pPr>
            <w:pStyle w:val="TOC1"/>
            <w:rPr>
              <w:rFonts w:eastAsiaTheme="minorEastAsia" w:cstheme="minorBidi"/>
              <w:bCs w:val="0"/>
              <w:color w:val="auto"/>
              <w:szCs w:val="22"/>
            </w:rPr>
          </w:pPr>
          <w:hyperlink w:anchor="_Toc68598970" w:history="1">
            <w:r w:rsidR="002C16AA" w:rsidRPr="0050670D">
              <w:rPr>
                <w:rStyle w:val="Hyperlink"/>
              </w:rPr>
              <w:t>3</w:t>
            </w:r>
            <w:r w:rsidR="002C16AA">
              <w:rPr>
                <w:rFonts w:eastAsiaTheme="minorEastAsia" w:cstheme="minorBidi"/>
                <w:bCs w:val="0"/>
                <w:color w:val="auto"/>
                <w:szCs w:val="22"/>
              </w:rPr>
              <w:tab/>
            </w:r>
            <w:r w:rsidR="002C16AA" w:rsidRPr="0050670D">
              <w:rPr>
                <w:rStyle w:val="Hyperlink"/>
              </w:rPr>
              <w:t>Scope</w:t>
            </w:r>
            <w:r w:rsidR="002C16AA">
              <w:rPr>
                <w:webHidden/>
              </w:rPr>
              <w:tab/>
            </w:r>
            <w:r w:rsidR="002C16AA">
              <w:rPr>
                <w:webHidden/>
              </w:rPr>
              <w:fldChar w:fldCharType="begin"/>
            </w:r>
            <w:r w:rsidR="002C16AA">
              <w:rPr>
                <w:webHidden/>
              </w:rPr>
              <w:instrText xml:space="preserve"> PAGEREF _Toc68598970 \h </w:instrText>
            </w:r>
            <w:r w:rsidR="002C16AA">
              <w:rPr>
                <w:webHidden/>
              </w:rPr>
            </w:r>
            <w:r w:rsidR="002C16AA">
              <w:rPr>
                <w:webHidden/>
              </w:rPr>
              <w:fldChar w:fldCharType="separate"/>
            </w:r>
            <w:r w:rsidR="002C16AA">
              <w:rPr>
                <w:webHidden/>
              </w:rPr>
              <w:t>1</w:t>
            </w:r>
            <w:r w:rsidR="002C16AA">
              <w:rPr>
                <w:webHidden/>
              </w:rPr>
              <w:fldChar w:fldCharType="end"/>
            </w:r>
          </w:hyperlink>
        </w:p>
        <w:p w14:paraId="39A70B73" w14:textId="0D4AD9FF" w:rsidR="002C16AA" w:rsidRDefault="00D738FC">
          <w:pPr>
            <w:pStyle w:val="TOC1"/>
            <w:rPr>
              <w:rFonts w:eastAsiaTheme="minorEastAsia" w:cstheme="minorBidi"/>
              <w:bCs w:val="0"/>
              <w:color w:val="auto"/>
              <w:szCs w:val="22"/>
            </w:rPr>
          </w:pPr>
          <w:hyperlink w:anchor="_Toc68598971" w:history="1">
            <w:r w:rsidR="002C16AA" w:rsidRPr="0050670D">
              <w:rPr>
                <w:rStyle w:val="Hyperlink"/>
              </w:rPr>
              <w:t>4</w:t>
            </w:r>
            <w:r w:rsidR="002C16AA">
              <w:rPr>
                <w:rFonts w:eastAsiaTheme="minorEastAsia" w:cstheme="minorBidi"/>
                <w:bCs w:val="0"/>
                <w:color w:val="auto"/>
                <w:szCs w:val="22"/>
              </w:rPr>
              <w:tab/>
            </w:r>
            <w:r w:rsidR="002C16AA" w:rsidRPr="0050670D">
              <w:rPr>
                <w:rStyle w:val="Hyperlink"/>
              </w:rPr>
              <w:t>Roles and Responsibilities</w:t>
            </w:r>
            <w:r w:rsidR="002C16AA">
              <w:rPr>
                <w:webHidden/>
              </w:rPr>
              <w:tab/>
            </w:r>
            <w:r w:rsidR="002C16AA">
              <w:rPr>
                <w:webHidden/>
              </w:rPr>
              <w:fldChar w:fldCharType="begin"/>
            </w:r>
            <w:r w:rsidR="002C16AA">
              <w:rPr>
                <w:webHidden/>
              </w:rPr>
              <w:instrText xml:space="preserve"> PAGEREF _Toc68598971 \h </w:instrText>
            </w:r>
            <w:r w:rsidR="002C16AA">
              <w:rPr>
                <w:webHidden/>
              </w:rPr>
            </w:r>
            <w:r w:rsidR="002C16AA">
              <w:rPr>
                <w:webHidden/>
              </w:rPr>
              <w:fldChar w:fldCharType="separate"/>
            </w:r>
            <w:r w:rsidR="002C16AA">
              <w:rPr>
                <w:webHidden/>
              </w:rPr>
              <w:t>1</w:t>
            </w:r>
            <w:r w:rsidR="002C16AA">
              <w:rPr>
                <w:webHidden/>
              </w:rPr>
              <w:fldChar w:fldCharType="end"/>
            </w:r>
          </w:hyperlink>
        </w:p>
        <w:p w14:paraId="586F051B" w14:textId="61973577" w:rsidR="002C16AA" w:rsidRDefault="00D738FC">
          <w:pPr>
            <w:pStyle w:val="TOC1"/>
            <w:rPr>
              <w:rFonts w:eastAsiaTheme="minorEastAsia" w:cstheme="minorBidi"/>
              <w:bCs w:val="0"/>
              <w:color w:val="auto"/>
              <w:szCs w:val="22"/>
            </w:rPr>
          </w:pPr>
          <w:hyperlink w:anchor="_Toc68598972" w:history="1">
            <w:r w:rsidR="002C16AA" w:rsidRPr="0050670D">
              <w:rPr>
                <w:rStyle w:val="Hyperlink"/>
              </w:rPr>
              <w:t>5</w:t>
            </w:r>
            <w:r w:rsidR="002C16AA">
              <w:rPr>
                <w:rFonts w:eastAsiaTheme="minorEastAsia" w:cstheme="minorBidi"/>
                <w:bCs w:val="0"/>
                <w:color w:val="auto"/>
                <w:szCs w:val="22"/>
              </w:rPr>
              <w:tab/>
            </w:r>
            <w:r w:rsidR="002C16AA" w:rsidRPr="0050670D">
              <w:rPr>
                <w:rStyle w:val="Hyperlink"/>
              </w:rPr>
              <w:t>Management Commitment</w:t>
            </w:r>
            <w:r w:rsidR="002C16AA">
              <w:rPr>
                <w:webHidden/>
              </w:rPr>
              <w:tab/>
            </w:r>
            <w:r w:rsidR="002C16AA">
              <w:rPr>
                <w:webHidden/>
              </w:rPr>
              <w:fldChar w:fldCharType="begin"/>
            </w:r>
            <w:r w:rsidR="002C16AA">
              <w:rPr>
                <w:webHidden/>
              </w:rPr>
              <w:instrText xml:space="preserve"> PAGEREF _Toc68598972 \h </w:instrText>
            </w:r>
            <w:r w:rsidR="002C16AA">
              <w:rPr>
                <w:webHidden/>
              </w:rPr>
            </w:r>
            <w:r w:rsidR="002C16AA">
              <w:rPr>
                <w:webHidden/>
              </w:rPr>
              <w:fldChar w:fldCharType="separate"/>
            </w:r>
            <w:r w:rsidR="002C16AA">
              <w:rPr>
                <w:webHidden/>
              </w:rPr>
              <w:t>2</w:t>
            </w:r>
            <w:r w:rsidR="002C16AA">
              <w:rPr>
                <w:webHidden/>
              </w:rPr>
              <w:fldChar w:fldCharType="end"/>
            </w:r>
          </w:hyperlink>
        </w:p>
        <w:p w14:paraId="3623BDD7" w14:textId="3163D1BF" w:rsidR="002C16AA" w:rsidRDefault="00D738FC">
          <w:pPr>
            <w:pStyle w:val="TOC1"/>
            <w:rPr>
              <w:rFonts w:eastAsiaTheme="minorEastAsia" w:cstheme="minorBidi"/>
              <w:bCs w:val="0"/>
              <w:color w:val="auto"/>
              <w:szCs w:val="22"/>
            </w:rPr>
          </w:pPr>
          <w:hyperlink w:anchor="_Toc68598973" w:history="1">
            <w:r w:rsidR="002C16AA" w:rsidRPr="0050670D">
              <w:rPr>
                <w:rStyle w:val="Hyperlink"/>
              </w:rPr>
              <w:t>6</w:t>
            </w:r>
            <w:r w:rsidR="002C16AA">
              <w:rPr>
                <w:rFonts w:eastAsiaTheme="minorEastAsia" w:cstheme="minorBidi"/>
                <w:bCs w:val="0"/>
                <w:color w:val="auto"/>
                <w:szCs w:val="22"/>
              </w:rPr>
              <w:tab/>
            </w:r>
            <w:r w:rsidR="002C16AA" w:rsidRPr="0050670D">
              <w:rPr>
                <w:rStyle w:val="Hyperlink"/>
              </w:rPr>
              <w:t>Authority</w:t>
            </w:r>
            <w:r w:rsidR="002C16AA">
              <w:rPr>
                <w:webHidden/>
              </w:rPr>
              <w:tab/>
            </w:r>
            <w:r w:rsidR="002C16AA">
              <w:rPr>
                <w:webHidden/>
              </w:rPr>
              <w:fldChar w:fldCharType="begin"/>
            </w:r>
            <w:r w:rsidR="002C16AA">
              <w:rPr>
                <w:webHidden/>
              </w:rPr>
              <w:instrText xml:space="preserve"> PAGEREF _Toc68598973 \h </w:instrText>
            </w:r>
            <w:r w:rsidR="002C16AA">
              <w:rPr>
                <w:webHidden/>
              </w:rPr>
            </w:r>
            <w:r w:rsidR="002C16AA">
              <w:rPr>
                <w:webHidden/>
              </w:rPr>
              <w:fldChar w:fldCharType="separate"/>
            </w:r>
            <w:r w:rsidR="002C16AA">
              <w:rPr>
                <w:webHidden/>
              </w:rPr>
              <w:t>3</w:t>
            </w:r>
            <w:r w:rsidR="002C16AA">
              <w:rPr>
                <w:webHidden/>
              </w:rPr>
              <w:fldChar w:fldCharType="end"/>
            </w:r>
          </w:hyperlink>
        </w:p>
        <w:p w14:paraId="1436C390" w14:textId="7691019E" w:rsidR="002C16AA" w:rsidRDefault="00D738FC">
          <w:pPr>
            <w:pStyle w:val="TOC1"/>
            <w:rPr>
              <w:rFonts w:eastAsiaTheme="minorEastAsia" w:cstheme="minorBidi"/>
              <w:bCs w:val="0"/>
              <w:color w:val="auto"/>
              <w:szCs w:val="22"/>
            </w:rPr>
          </w:pPr>
          <w:hyperlink w:anchor="_Toc68598974" w:history="1">
            <w:r w:rsidR="002C16AA" w:rsidRPr="0050670D">
              <w:rPr>
                <w:rStyle w:val="Hyperlink"/>
              </w:rPr>
              <w:t>7</w:t>
            </w:r>
            <w:r w:rsidR="002C16AA">
              <w:rPr>
                <w:rFonts w:eastAsiaTheme="minorEastAsia" w:cstheme="minorBidi"/>
                <w:bCs w:val="0"/>
                <w:color w:val="auto"/>
                <w:szCs w:val="22"/>
              </w:rPr>
              <w:tab/>
            </w:r>
            <w:r w:rsidR="002C16AA" w:rsidRPr="0050670D">
              <w:rPr>
                <w:rStyle w:val="Hyperlink"/>
              </w:rPr>
              <w:t>Compliance</w:t>
            </w:r>
            <w:r w:rsidR="002C16AA">
              <w:rPr>
                <w:webHidden/>
              </w:rPr>
              <w:tab/>
            </w:r>
            <w:r w:rsidR="002C16AA">
              <w:rPr>
                <w:webHidden/>
              </w:rPr>
              <w:fldChar w:fldCharType="begin"/>
            </w:r>
            <w:r w:rsidR="002C16AA">
              <w:rPr>
                <w:webHidden/>
              </w:rPr>
              <w:instrText xml:space="preserve"> PAGEREF _Toc68598974 \h </w:instrText>
            </w:r>
            <w:r w:rsidR="002C16AA">
              <w:rPr>
                <w:webHidden/>
              </w:rPr>
            </w:r>
            <w:r w:rsidR="002C16AA">
              <w:rPr>
                <w:webHidden/>
              </w:rPr>
              <w:fldChar w:fldCharType="separate"/>
            </w:r>
            <w:r w:rsidR="002C16AA">
              <w:rPr>
                <w:webHidden/>
              </w:rPr>
              <w:t>3</w:t>
            </w:r>
            <w:r w:rsidR="002C16AA">
              <w:rPr>
                <w:webHidden/>
              </w:rPr>
              <w:fldChar w:fldCharType="end"/>
            </w:r>
          </w:hyperlink>
        </w:p>
        <w:p w14:paraId="13F938B7" w14:textId="0DF5B9B3" w:rsidR="002C16AA" w:rsidRDefault="00D738FC">
          <w:pPr>
            <w:pStyle w:val="TOC1"/>
            <w:rPr>
              <w:rFonts w:eastAsiaTheme="minorEastAsia" w:cstheme="minorBidi"/>
              <w:bCs w:val="0"/>
              <w:color w:val="auto"/>
              <w:szCs w:val="22"/>
            </w:rPr>
          </w:pPr>
          <w:hyperlink w:anchor="_Toc68598975" w:history="1">
            <w:r w:rsidR="002C16AA" w:rsidRPr="0050670D">
              <w:rPr>
                <w:rStyle w:val="Hyperlink"/>
              </w:rPr>
              <w:t>8</w:t>
            </w:r>
            <w:r w:rsidR="002C16AA">
              <w:rPr>
                <w:rFonts w:eastAsiaTheme="minorEastAsia" w:cstheme="minorBidi"/>
                <w:bCs w:val="0"/>
                <w:color w:val="auto"/>
                <w:szCs w:val="22"/>
              </w:rPr>
              <w:tab/>
            </w:r>
            <w:r w:rsidR="002C16AA" w:rsidRPr="0050670D">
              <w:rPr>
                <w:rStyle w:val="Hyperlink"/>
              </w:rPr>
              <w:t>Procedural Requirements</w:t>
            </w:r>
            <w:r w:rsidR="002C16AA">
              <w:rPr>
                <w:webHidden/>
              </w:rPr>
              <w:tab/>
            </w:r>
            <w:r w:rsidR="002C16AA">
              <w:rPr>
                <w:webHidden/>
              </w:rPr>
              <w:fldChar w:fldCharType="begin"/>
            </w:r>
            <w:r w:rsidR="002C16AA">
              <w:rPr>
                <w:webHidden/>
              </w:rPr>
              <w:instrText xml:space="preserve"> PAGEREF _Toc68598975 \h </w:instrText>
            </w:r>
            <w:r w:rsidR="002C16AA">
              <w:rPr>
                <w:webHidden/>
              </w:rPr>
            </w:r>
            <w:r w:rsidR="002C16AA">
              <w:rPr>
                <w:webHidden/>
              </w:rPr>
              <w:fldChar w:fldCharType="separate"/>
            </w:r>
            <w:r w:rsidR="002C16AA">
              <w:rPr>
                <w:webHidden/>
              </w:rPr>
              <w:t>4</w:t>
            </w:r>
            <w:r w:rsidR="002C16AA">
              <w:rPr>
                <w:webHidden/>
              </w:rPr>
              <w:fldChar w:fldCharType="end"/>
            </w:r>
          </w:hyperlink>
        </w:p>
        <w:p w14:paraId="5B01904E" w14:textId="778D9CF7" w:rsidR="002C16AA" w:rsidRDefault="00D738FC">
          <w:pPr>
            <w:pStyle w:val="TOC2"/>
            <w:rPr>
              <w:rFonts w:eastAsiaTheme="minorEastAsia" w:cstheme="minorBidi"/>
              <w:bCs w:val="0"/>
              <w:noProof/>
              <w:color w:val="auto"/>
            </w:rPr>
          </w:pPr>
          <w:hyperlink w:anchor="_Toc68598976" w:history="1">
            <w:r w:rsidR="002C16AA" w:rsidRPr="0050670D">
              <w:rPr>
                <w:rStyle w:val="Hyperlink"/>
                <w:noProof/>
              </w:rPr>
              <w:t>8.1</w:t>
            </w:r>
            <w:r w:rsidR="002C16AA">
              <w:rPr>
                <w:rFonts w:eastAsiaTheme="minorEastAsia" w:cstheme="minorBidi"/>
                <w:bCs w:val="0"/>
                <w:noProof/>
                <w:color w:val="auto"/>
              </w:rPr>
              <w:tab/>
            </w:r>
            <w:r w:rsidR="002C16AA" w:rsidRPr="0050670D">
              <w:rPr>
                <w:rStyle w:val="Hyperlink"/>
                <w:noProof/>
              </w:rPr>
              <w:t>Configuring Auditable Events</w:t>
            </w:r>
            <w:r w:rsidR="002C16AA">
              <w:rPr>
                <w:noProof/>
                <w:webHidden/>
              </w:rPr>
              <w:tab/>
            </w:r>
            <w:r w:rsidR="002C16AA">
              <w:rPr>
                <w:noProof/>
                <w:webHidden/>
              </w:rPr>
              <w:fldChar w:fldCharType="begin"/>
            </w:r>
            <w:r w:rsidR="002C16AA">
              <w:rPr>
                <w:noProof/>
                <w:webHidden/>
              </w:rPr>
              <w:instrText xml:space="preserve"> PAGEREF _Toc68598976 \h </w:instrText>
            </w:r>
            <w:r w:rsidR="002C16AA">
              <w:rPr>
                <w:noProof/>
                <w:webHidden/>
              </w:rPr>
            </w:r>
            <w:r w:rsidR="002C16AA">
              <w:rPr>
                <w:noProof/>
                <w:webHidden/>
              </w:rPr>
              <w:fldChar w:fldCharType="separate"/>
            </w:r>
            <w:r w:rsidR="002C16AA">
              <w:rPr>
                <w:noProof/>
                <w:webHidden/>
              </w:rPr>
              <w:t>4</w:t>
            </w:r>
            <w:r w:rsidR="002C16AA">
              <w:rPr>
                <w:noProof/>
                <w:webHidden/>
              </w:rPr>
              <w:fldChar w:fldCharType="end"/>
            </w:r>
          </w:hyperlink>
        </w:p>
        <w:p w14:paraId="6609F9A5" w14:textId="392F9C2F" w:rsidR="002C16AA" w:rsidRDefault="00D738FC">
          <w:pPr>
            <w:pStyle w:val="TOC2"/>
            <w:rPr>
              <w:rFonts w:eastAsiaTheme="minorEastAsia" w:cstheme="minorBidi"/>
              <w:bCs w:val="0"/>
              <w:noProof/>
              <w:color w:val="auto"/>
            </w:rPr>
          </w:pPr>
          <w:hyperlink w:anchor="_Toc68598977" w:history="1">
            <w:r w:rsidR="002C16AA" w:rsidRPr="0050670D">
              <w:rPr>
                <w:rStyle w:val="Hyperlink"/>
                <w:noProof/>
              </w:rPr>
              <w:t>8.2</w:t>
            </w:r>
            <w:r w:rsidR="002C16AA">
              <w:rPr>
                <w:rFonts w:eastAsiaTheme="minorEastAsia" w:cstheme="minorBidi"/>
                <w:bCs w:val="0"/>
                <w:noProof/>
                <w:color w:val="auto"/>
              </w:rPr>
              <w:tab/>
            </w:r>
            <w:r w:rsidR="002C16AA" w:rsidRPr="0050670D">
              <w:rPr>
                <w:rStyle w:val="Hyperlink"/>
                <w:noProof/>
              </w:rPr>
              <w:t>Auditable Events</w:t>
            </w:r>
            <w:r w:rsidR="002C16AA">
              <w:rPr>
                <w:noProof/>
                <w:webHidden/>
              </w:rPr>
              <w:tab/>
            </w:r>
            <w:r w:rsidR="002C16AA">
              <w:rPr>
                <w:noProof/>
                <w:webHidden/>
              </w:rPr>
              <w:fldChar w:fldCharType="begin"/>
            </w:r>
            <w:r w:rsidR="002C16AA">
              <w:rPr>
                <w:noProof/>
                <w:webHidden/>
              </w:rPr>
              <w:instrText xml:space="preserve"> PAGEREF _Toc68598977 \h </w:instrText>
            </w:r>
            <w:r w:rsidR="002C16AA">
              <w:rPr>
                <w:noProof/>
                <w:webHidden/>
              </w:rPr>
            </w:r>
            <w:r w:rsidR="002C16AA">
              <w:rPr>
                <w:noProof/>
                <w:webHidden/>
              </w:rPr>
              <w:fldChar w:fldCharType="separate"/>
            </w:r>
            <w:r w:rsidR="002C16AA">
              <w:rPr>
                <w:noProof/>
                <w:webHidden/>
              </w:rPr>
              <w:t>4</w:t>
            </w:r>
            <w:r w:rsidR="002C16AA">
              <w:rPr>
                <w:noProof/>
                <w:webHidden/>
              </w:rPr>
              <w:fldChar w:fldCharType="end"/>
            </w:r>
          </w:hyperlink>
        </w:p>
        <w:p w14:paraId="27BB0BB4" w14:textId="5615DC91" w:rsidR="002C16AA" w:rsidRDefault="00D738FC">
          <w:pPr>
            <w:pStyle w:val="TOC2"/>
            <w:rPr>
              <w:rFonts w:eastAsiaTheme="minorEastAsia" w:cstheme="minorBidi"/>
              <w:bCs w:val="0"/>
              <w:noProof/>
              <w:color w:val="auto"/>
            </w:rPr>
          </w:pPr>
          <w:hyperlink w:anchor="_Toc68598978" w:history="1">
            <w:r w:rsidR="002C16AA" w:rsidRPr="0050670D">
              <w:rPr>
                <w:rStyle w:val="Hyperlink"/>
                <w:noProof/>
              </w:rPr>
              <w:t>8.3</w:t>
            </w:r>
            <w:r w:rsidR="002C16AA">
              <w:rPr>
                <w:rFonts w:eastAsiaTheme="minorEastAsia" w:cstheme="minorBidi"/>
                <w:bCs w:val="0"/>
                <w:noProof/>
                <w:color w:val="auto"/>
              </w:rPr>
              <w:tab/>
            </w:r>
            <w:r w:rsidR="002C16AA" w:rsidRPr="0050670D">
              <w:rPr>
                <w:rStyle w:val="Hyperlink"/>
                <w:noProof/>
              </w:rPr>
              <w:t>Configuring Audit Records</w:t>
            </w:r>
            <w:r w:rsidR="002C16AA">
              <w:rPr>
                <w:noProof/>
                <w:webHidden/>
              </w:rPr>
              <w:tab/>
            </w:r>
            <w:r w:rsidR="002C16AA">
              <w:rPr>
                <w:noProof/>
                <w:webHidden/>
              </w:rPr>
              <w:fldChar w:fldCharType="begin"/>
            </w:r>
            <w:r w:rsidR="002C16AA">
              <w:rPr>
                <w:noProof/>
                <w:webHidden/>
              </w:rPr>
              <w:instrText xml:space="preserve"> PAGEREF _Toc68598978 \h </w:instrText>
            </w:r>
            <w:r w:rsidR="002C16AA">
              <w:rPr>
                <w:noProof/>
                <w:webHidden/>
              </w:rPr>
            </w:r>
            <w:r w:rsidR="002C16AA">
              <w:rPr>
                <w:noProof/>
                <w:webHidden/>
              </w:rPr>
              <w:fldChar w:fldCharType="separate"/>
            </w:r>
            <w:r w:rsidR="002C16AA">
              <w:rPr>
                <w:noProof/>
                <w:webHidden/>
              </w:rPr>
              <w:t>5</w:t>
            </w:r>
            <w:r w:rsidR="002C16AA">
              <w:rPr>
                <w:noProof/>
                <w:webHidden/>
              </w:rPr>
              <w:fldChar w:fldCharType="end"/>
            </w:r>
          </w:hyperlink>
        </w:p>
        <w:p w14:paraId="4DBCCD49" w14:textId="132FBCB9" w:rsidR="002C16AA" w:rsidRDefault="00D738FC">
          <w:pPr>
            <w:pStyle w:val="TOC2"/>
            <w:rPr>
              <w:rFonts w:eastAsiaTheme="minorEastAsia" w:cstheme="minorBidi"/>
              <w:bCs w:val="0"/>
              <w:noProof/>
              <w:color w:val="auto"/>
            </w:rPr>
          </w:pPr>
          <w:hyperlink w:anchor="_Toc68598979" w:history="1">
            <w:r w:rsidR="002C16AA" w:rsidRPr="0050670D">
              <w:rPr>
                <w:rStyle w:val="Hyperlink"/>
                <w:noProof/>
              </w:rPr>
              <w:t>8.4</w:t>
            </w:r>
            <w:r w:rsidR="002C16AA">
              <w:rPr>
                <w:rFonts w:eastAsiaTheme="minorEastAsia" w:cstheme="minorBidi"/>
                <w:bCs w:val="0"/>
                <w:noProof/>
                <w:color w:val="auto"/>
              </w:rPr>
              <w:tab/>
            </w:r>
            <w:r w:rsidR="002C16AA" w:rsidRPr="0050670D">
              <w:rPr>
                <w:rStyle w:val="Hyperlink"/>
                <w:noProof/>
              </w:rPr>
              <w:t>Configuring Audit Storage Capacity &amp; Alerts</w:t>
            </w:r>
            <w:r w:rsidR="002C16AA">
              <w:rPr>
                <w:noProof/>
                <w:webHidden/>
              </w:rPr>
              <w:tab/>
            </w:r>
            <w:r w:rsidR="002C16AA">
              <w:rPr>
                <w:noProof/>
                <w:webHidden/>
              </w:rPr>
              <w:fldChar w:fldCharType="begin"/>
            </w:r>
            <w:r w:rsidR="002C16AA">
              <w:rPr>
                <w:noProof/>
                <w:webHidden/>
              </w:rPr>
              <w:instrText xml:space="preserve"> PAGEREF _Toc68598979 \h </w:instrText>
            </w:r>
            <w:r w:rsidR="002C16AA">
              <w:rPr>
                <w:noProof/>
                <w:webHidden/>
              </w:rPr>
            </w:r>
            <w:r w:rsidR="002C16AA">
              <w:rPr>
                <w:noProof/>
                <w:webHidden/>
              </w:rPr>
              <w:fldChar w:fldCharType="separate"/>
            </w:r>
            <w:r w:rsidR="002C16AA">
              <w:rPr>
                <w:noProof/>
                <w:webHidden/>
              </w:rPr>
              <w:t>5</w:t>
            </w:r>
            <w:r w:rsidR="002C16AA">
              <w:rPr>
                <w:noProof/>
                <w:webHidden/>
              </w:rPr>
              <w:fldChar w:fldCharType="end"/>
            </w:r>
          </w:hyperlink>
        </w:p>
        <w:p w14:paraId="5F1C3BA4" w14:textId="0B109682" w:rsidR="002C16AA" w:rsidRDefault="00D738FC">
          <w:pPr>
            <w:pStyle w:val="TOC2"/>
            <w:rPr>
              <w:rFonts w:eastAsiaTheme="minorEastAsia" w:cstheme="minorBidi"/>
              <w:bCs w:val="0"/>
              <w:noProof/>
              <w:color w:val="auto"/>
            </w:rPr>
          </w:pPr>
          <w:hyperlink w:anchor="_Toc68598980" w:history="1">
            <w:r w:rsidR="002C16AA" w:rsidRPr="0050670D">
              <w:rPr>
                <w:rStyle w:val="Hyperlink"/>
                <w:noProof/>
              </w:rPr>
              <w:t>8.5</w:t>
            </w:r>
            <w:r w:rsidR="002C16AA">
              <w:rPr>
                <w:rFonts w:eastAsiaTheme="minorEastAsia" w:cstheme="minorBidi"/>
                <w:bCs w:val="0"/>
                <w:noProof/>
                <w:color w:val="auto"/>
              </w:rPr>
              <w:tab/>
            </w:r>
            <w:r w:rsidR="002C16AA" w:rsidRPr="0050670D">
              <w:rPr>
                <w:rStyle w:val="Hyperlink"/>
                <w:noProof/>
              </w:rPr>
              <w:t>Reviewing Audit Records</w:t>
            </w:r>
            <w:r w:rsidR="002C16AA">
              <w:rPr>
                <w:noProof/>
                <w:webHidden/>
              </w:rPr>
              <w:tab/>
            </w:r>
            <w:r w:rsidR="002C16AA">
              <w:rPr>
                <w:noProof/>
                <w:webHidden/>
              </w:rPr>
              <w:fldChar w:fldCharType="begin"/>
            </w:r>
            <w:r w:rsidR="002C16AA">
              <w:rPr>
                <w:noProof/>
                <w:webHidden/>
              </w:rPr>
              <w:instrText xml:space="preserve"> PAGEREF _Toc68598980 \h </w:instrText>
            </w:r>
            <w:r w:rsidR="002C16AA">
              <w:rPr>
                <w:noProof/>
                <w:webHidden/>
              </w:rPr>
            </w:r>
            <w:r w:rsidR="002C16AA">
              <w:rPr>
                <w:noProof/>
                <w:webHidden/>
              </w:rPr>
              <w:fldChar w:fldCharType="separate"/>
            </w:r>
            <w:r w:rsidR="002C16AA">
              <w:rPr>
                <w:noProof/>
                <w:webHidden/>
              </w:rPr>
              <w:t>5</w:t>
            </w:r>
            <w:r w:rsidR="002C16AA">
              <w:rPr>
                <w:noProof/>
                <w:webHidden/>
              </w:rPr>
              <w:fldChar w:fldCharType="end"/>
            </w:r>
          </w:hyperlink>
        </w:p>
        <w:p w14:paraId="5928DF6A" w14:textId="6D4F5BED" w:rsidR="002C16AA" w:rsidRDefault="00D738FC">
          <w:pPr>
            <w:pStyle w:val="TOC2"/>
            <w:rPr>
              <w:rFonts w:eastAsiaTheme="minorEastAsia" w:cstheme="minorBidi"/>
              <w:bCs w:val="0"/>
              <w:noProof/>
              <w:color w:val="auto"/>
            </w:rPr>
          </w:pPr>
          <w:hyperlink w:anchor="_Toc68598981" w:history="1">
            <w:r w:rsidR="002C16AA" w:rsidRPr="0050670D">
              <w:rPr>
                <w:rStyle w:val="Hyperlink"/>
                <w:noProof/>
              </w:rPr>
              <w:t>8.6</w:t>
            </w:r>
            <w:r w:rsidR="002C16AA">
              <w:rPr>
                <w:rFonts w:eastAsiaTheme="minorEastAsia" w:cstheme="minorBidi"/>
                <w:bCs w:val="0"/>
                <w:noProof/>
                <w:color w:val="auto"/>
              </w:rPr>
              <w:tab/>
            </w:r>
            <w:r w:rsidR="002C16AA" w:rsidRPr="0050670D">
              <w:rPr>
                <w:rStyle w:val="Hyperlink"/>
                <w:noProof/>
              </w:rPr>
              <w:t>Information System Configuration</w:t>
            </w:r>
            <w:r w:rsidR="002C16AA">
              <w:rPr>
                <w:noProof/>
                <w:webHidden/>
              </w:rPr>
              <w:tab/>
            </w:r>
            <w:r w:rsidR="002C16AA">
              <w:rPr>
                <w:noProof/>
                <w:webHidden/>
              </w:rPr>
              <w:fldChar w:fldCharType="begin"/>
            </w:r>
            <w:r w:rsidR="002C16AA">
              <w:rPr>
                <w:noProof/>
                <w:webHidden/>
              </w:rPr>
              <w:instrText xml:space="preserve"> PAGEREF _Toc68598981 \h </w:instrText>
            </w:r>
            <w:r w:rsidR="002C16AA">
              <w:rPr>
                <w:noProof/>
                <w:webHidden/>
              </w:rPr>
            </w:r>
            <w:r w:rsidR="002C16AA">
              <w:rPr>
                <w:noProof/>
                <w:webHidden/>
              </w:rPr>
              <w:fldChar w:fldCharType="separate"/>
            </w:r>
            <w:r w:rsidR="002C16AA">
              <w:rPr>
                <w:noProof/>
                <w:webHidden/>
              </w:rPr>
              <w:t>6</w:t>
            </w:r>
            <w:r w:rsidR="002C16AA">
              <w:rPr>
                <w:noProof/>
                <w:webHidden/>
              </w:rPr>
              <w:fldChar w:fldCharType="end"/>
            </w:r>
          </w:hyperlink>
        </w:p>
        <w:p w14:paraId="100FC160" w14:textId="1E4714A9" w:rsidR="002C16AA" w:rsidRDefault="00D738FC">
          <w:pPr>
            <w:pStyle w:val="TOC3"/>
            <w:tabs>
              <w:tab w:val="left" w:pos="1320"/>
              <w:tab w:val="right" w:leader="dot" w:pos="9350"/>
            </w:tabs>
            <w:rPr>
              <w:rFonts w:eastAsiaTheme="minorEastAsia"/>
              <w:noProof/>
              <w:szCs w:val="22"/>
            </w:rPr>
          </w:pPr>
          <w:hyperlink w:anchor="_Toc68598982" w:history="1">
            <w:r w:rsidR="002C16AA" w:rsidRPr="0050670D">
              <w:rPr>
                <w:rStyle w:val="Hyperlink"/>
                <w:noProof/>
              </w:rPr>
              <w:t>8.6.1</w:t>
            </w:r>
            <w:r w:rsidR="002C16AA">
              <w:rPr>
                <w:rFonts w:eastAsiaTheme="minorEastAsia"/>
                <w:noProof/>
                <w:szCs w:val="22"/>
              </w:rPr>
              <w:tab/>
            </w:r>
            <w:r w:rsidR="002C16AA" w:rsidRPr="0050670D">
              <w:rPr>
                <w:rStyle w:val="Hyperlink"/>
                <w:noProof/>
              </w:rPr>
              <w:t>Initial Date/Time Configuration</w:t>
            </w:r>
            <w:r w:rsidR="002C16AA">
              <w:rPr>
                <w:noProof/>
                <w:webHidden/>
              </w:rPr>
              <w:tab/>
            </w:r>
            <w:r w:rsidR="002C16AA">
              <w:rPr>
                <w:noProof/>
                <w:webHidden/>
              </w:rPr>
              <w:fldChar w:fldCharType="begin"/>
            </w:r>
            <w:r w:rsidR="002C16AA">
              <w:rPr>
                <w:noProof/>
                <w:webHidden/>
              </w:rPr>
              <w:instrText xml:space="preserve"> PAGEREF _Toc68598982 \h </w:instrText>
            </w:r>
            <w:r w:rsidR="002C16AA">
              <w:rPr>
                <w:noProof/>
                <w:webHidden/>
              </w:rPr>
            </w:r>
            <w:r w:rsidR="002C16AA">
              <w:rPr>
                <w:noProof/>
                <w:webHidden/>
              </w:rPr>
              <w:fldChar w:fldCharType="separate"/>
            </w:r>
            <w:r w:rsidR="002C16AA">
              <w:rPr>
                <w:noProof/>
                <w:webHidden/>
              </w:rPr>
              <w:t>6</w:t>
            </w:r>
            <w:r w:rsidR="002C16AA">
              <w:rPr>
                <w:noProof/>
                <w:webHidden/>
              </w:rPr>
              <w:fldChar w:fldCharType="end"/>
            </w:r>
          </w:hyperlink>
        </w:p>
        <w:p w14:paraId="477A2783" w14:textId="3947B2D7" w:rsidR="002C16AA" w:rsidRDefault="00D738FC">
          <w:pPr>
            <w:pStyle w:val="TOC3"/>
            <w:tabs>
              <w:tab w:val="left" w:pos="1320"/>
              <w:tab w:val="right" w:leader="dot" w:pos="9350"/>
            </w:tabs>
            <w:rPr>
              <w:rFonts w:eastAsiaTheme="minorEastAsia"/>
              <w:noProof/>
              <w:szCs w:val="22"/>
            </w:rPr>
          </w:pPr>
          <w:hyperlink w:anchor="_Toc68598983" w:history="1">
            <w:r w:rsidR="002C16AA" w:rsidRPr="0050670D">
              <w:rPr>
                <w:rStyle w:val="Hyperlink"/>
                <w:noProof/>
              </w:rPr>
              <w:t>8.6.2</w:t>
            </w:r>
            <w:r w:rsidR="002C16AA">
              <w:rPr>
                <w:rFonts w:eastAsiaTheme="minorEastAsia"/>
                <w:noProof/>
                <w:szCs w:val="22"/>
              </w:rPr>
              <w:tab/>
            </w:r>
            <w:r w:rsidR="002C16AA" w:rsidRPr="0050670D">
              <w:rPr>
                <w:rStyle w:val="Hyperlink"/>
                <w:noProof/>
              </w:rPr>
              <w:t>Synchronizing Date/Time Information</w:t>
            </w:r>
            <w:r w:rsidR="002C16AA">
              <w:rPr>
                <w:noProof/>
                <w:webHidden/>
              </w:rPr>
              <w:tab/>
            </w:r>
            <w:r w:rsidR="002C16AA">
              <w:rPr>
                <w:noProof/>
                <w:webHidden/>
              </w:rPr>
              <w:fldChar w:fldCharType="begin"/>
            </w:r>
            <w:r w:rsidR="002C16AA">
              <w:rPr>
                <w:noProof/>
                <w:webHidden/>
              </w:rPr>
              <w:instrText xml:space="preserve"> PAGEREF _Toc68598983 \h </w:instrText>
            </w:r>
            <w:r w:rsidR="002C16AA">
              <w:rPr>
                <w:noProof/>
                <w:webHidden/>
              </w:rPr>
            </w:r>
            <w:r w:rsidR="002C16AA">
              <w:rPr>
                <w:noProof/>
                <w:webHidden/>
              </w:rPr>
              <w:fldChar w:fldCharType="separate"/>
            </w:r>
            <w:r w:rsidR="002C16AA">
              <w:rPr>
                <w:noProof/>
                <w:webHidden/>
              </w:rPr>
              <w:t>6</w:t>
            </w:r>
            <w:r w:rsidR="002C16AA">
              <w:rPr>
                <w:noProof/>
                <w:webHidden/>
              </w:rPr>
              <w:fldChar w:fldCharType="end"/>
            </w:r>
          </w:hyperlink>
        </w:p>
        <w:p w14:paraId="344AA9CD" w14:textId="6F5CCBC2" w:rsidR="002C16AA" w:rsidRDefault="00D738FC">
          <w:pPr>
            <w:pStyle w:val="TOC2"/>
            <w:rPr>
              <w:rFonts w:eastAsiaTheme="minorEastAsia" w:cstheme="minorBidi"/>
              <w:bCs w:val="0"/>
              <w:noProof/>
              <w:color w:val="auto"/>
            </w:rPr>
          </w:pPr>
          <w:hyperlink w:anchor="_Toc68598984" w:history="1">
            <w:r w:rsidR="002C16AA" w:rsidRPr="0050670D">
              <w:rPr>
                <w:rStyle w:val="Hyperlink"/>
                <w:noProof/>
              </w:rPr>
              <w:t>8.7</w:t>
            </w:r>
            <w:r w:rsidR="002C16AA">
              <w:rPr>
                <w:rFonts w:eastAsiaTheme="minorEastAsia" w:cstheme="minorBidi"/>
                <w:bCs w:val="0"/>
                <w:noProof/>
                <w:color w:val="auto"/>
              </w:rPr>
              <w:tab/>
            </w:r>
            <w:r w:rsidR="002C16AA" w:rsidRPr="0050670D">
              <w:rPr>
                <w:rStyle w:val="Hyperlink"/>
                <w:noProof/>
              </w:rPr>
              <w:t>Protecting Audit Logs and Audit Log Retention</w:t>
            </w:r>
            <w:r w:rsidR="002C16AA">
              <w:rPr>
                <w:noProof/>
                <w:webHidden/>
              </w:rPr>
              <w:tab/>
            </w:r>
            <w:r w:rsidR="002C16AA">
              <w:rPr>
                <w:noProof/>
                <w:webHidden/>
              </w:rPr>
              <w:fldChar w:fldCharType="begin"/>
            </w:r>
            <w:r w:rsidR="002C16AA">
              <w:rPr>
                <w:noProof/>
                <w:webHidden/>
              </w:rPr>
              <w:instrText xml:space="preserve"> PAGEREF _Toc68598984 \h </w:instrText>
            </w:r>
            <w:r w:rsidR="002C16AA">
              <w:rPr>
                <w:noProof/>
                <w:webHidden/>
              </w:rPr>
            </w:r>
            <w:r w:rsidR="002C16AA">
              <w:rPr>
                <w:noProof/>
                <w:webHidden/>
              </w:rPr>
              <w:fldChar w:fldCharType="separate"/>
            </w:r>
            <w:r w:rsidR="002C16AA">
              <w:rPr>
                <w:noProof/>
                <w:webHidden/>
              </w:rPr>
              <w:t>6</w:t>
            </w:r>
            <w:r w:rsidR="002C16AA">
              <w:rPr>
                <w:noProof/>
                <w:webHidden/>
              </w:rPr>
              <w:fldChar w:fldCharType="end"/>
            </w:r>
          </w:hyperlink>
        </w:p>
        <w:p w14:paraId="2F60F5D0" w14:textId="06F8610C" w:rsidR="002C16AA" w:rsidRDefault="00D738FC">
          <w:pPr>
            <w:pStyle w:val="TOC3"/>
            <w:tabs>
              <w:tab w:val="left" w:pos="1320"/>
              <w:tab w:val="right" w:leader="dot" w:pos="9350"/>
            </w:tabs>
            <w:rPr>
              <w:rFonts w:eastAsiaTheme="minorEastAsia"/>
              <w:noProof/>
              <w:szCs w:val="22"/>
            </w:rPr>
          </w:pPr>
          <w:hyperlink w:anchor="_Toc68598985" w:history="1">
            <w:r w:rsidR="002C16AA" w:rsidRPr="0050670D">
              <w:rPr>
                <w:rStyle w:val="Hyperlink"/>
                <w:noProof/>
              </w:rPr>
              <w:t>8.7.1</w:t>
            </w:r>
            <w:r w:rsidR="002C16AA">
              <w:rPr>
                <w:rFonts w:eastAsiaTheme="minorEastAsia"/>
                <w:noProof/>
                <w:szCs w:val="22"/>
              </w:rPr>
              <w:tab/>
            </w:r>
            <w:r w:rsidR="002C16AA" w:rsidRPr="0050670D">
              <w:rPr>
                <w:rStyle w:val="Hyperlink"/>
                <w:noProof/>
              </w:rPr>
              <w:t>Audit Log Protection</w:t>
            </w:r>
            <w:r w:rsidR="002C16AA">
              <w:rPr>
                <w:noProof/>
                <w:webHidden/>
              </w:rPr>
              <w:tab/>
            </w:r>
            <w:r w:rsidR="002C16AA">
              <w:rPr>
                <w:noProof/>
                <w:webHidden/>
              </w:rPr>
              <w:fldChar w:fldCharType="begin"/>
            </w:r>
            <w:r w:rsidR="002C16AA">
              <w:rPr>
                <w:noProof/>
                <w:webHidden/>
              </w:rPr>
              <w:instrText xml:space="preserve"> PAGEREF _Toc68598985 \h </w:instrText>
            </w:r>
            <w:r w:rsidR="002C16AA">
              <w:rPr>
                <w:noProof/>
                <w:webHidden/>
              </w:rPr>
            </w:r>
            <w:r w:rsidR="002C16AA">
              <w:rPr>
                <w:noProof/>
                <w:webHidden/>
              </w:rPr>
              <w:fldChar w:fldCharType="separate"/>
            </w:r>
            <w:r w:rsidR="002C16AA">
              <w:rPr>
                <w:noProof/>
                <w:webHidden/>
              </w:rPr>
              <w:t>6</w:t>
            </w:r>
            <w:r w:rsidR="002C16AA">
              <w:rPr>
                <w:noProof/>
                <w:webHidden/>
              </w:rPr>
              <w:fldChar w:fldCharType="end"/>
            </w:r>
          </w:hyperlink>
        </w:p>
        <w:p w14:paraId="35C30C52" w14:textId="038FFB56" w:rsidR="002C16AA" w:rsidRDefault="00D738FC">
          <w:pPr>
            <w:pStyle w:val="TOC3"/>
            <w:tabs>
              <w:tab w:val="left" w:pos="1320"/>
              <w:tab w:val="right" w:leader="dot" w:pos="9350"/>
            </w:tabs>
            <w:rPr>
              <w:rFonts w:eastAsiaTheme="minorEastAsia"/>
              <w:noProof/>
              <w:szCs w:val="22"/>
            </w:rPr>
          </w:pPr>
          <w:hyperlink w:anchor="_Toc68598986" w:history="1">
            <w:r w:rsidR="002C16AA" w:rsidRPr="0050670D">
              <w:rPr>
                <w:rStyle w:val="Hyperlink"/>
                <w:noProof/>
              </w:rPr>
              <w:t>8.7.2</w:t>
            </w:r>
            <w:r w:rsidR="002C16AA">
              <w:rPr>
                <w:rFonts w:eastAsiaTheme="minorEastAsia"/>
                <w:noProof/>
                <w:szCs w:val="22"/>
              </w:rPr>
              <w:tab/>
            </w:r>
            <w:r w:rsidR="002C16AA" w:rsidRPr="0050670D">
              <w:rPr>
                <w:rStyle w:val="Hyperlink"/>
                <w:noProof/>
              </w:rPr>
              <w:t>Audit Log Retention</w:t>
            </w:r>
            <w:r w:rsidR="002C16AA">
              <w:rPr>
                <w:noProof/>
                <w:webHidden/>
              </w:rPr>
              <w:tab/>
            </w:r>
            <w:r w:rsidR="002C16AA">
              <w:rPr>
                <w:noProof/>
                <w:webHidden/>
              </w:rPr>
              <w:fldChar w:fldCharType="begin"/>
            </w:r>
            <w:r w:rsidR="002C16AA">
              <w:rPr>
                <w:noProof/>
                <w:webHidden/>
              </w:rPr>
              <w:instrText xml:space="preserve"> PAGEREF _Toc68598986 \h </w:instrText>
            </w:r>
            <w:r w:rsidR="002C16AA">
              <w:rPr>
                <w:noProof/>
                <w:webHidden/>
              </w:rPr>
            </w:r>
            <w:r w:rsidR="002C16AA">
              <w:rPr>
                <w:noProof/>
                <w:webHidden/>
              </w:rPr>
              <w:fldChar w:fldCharType="separate"/>
            </w:r>
            <w:r w:rsidR="002C16AA">
              <w:rPr>
                <w:noProof/>
                <w:webHidden/>
              </w:rPr>
              <w:t>7</w:t>
            </w:r>
            <w:r w:rsidR="002C16AA">
              <w:rPr>
                <w:noProof/>
                <w:webHidden/>
              </w:rPr>
              <w:fldChar w:fldCharType="end"/>
            </w:r>
          </w:hyperlink>
        </w:p>
        <w:p w14:paraId="29138706" w14:textId="16BC84E0"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8968"/>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01D9F52E" w:rsidR="00124D3F" w:rsidRPr="00C92CC5" w:rsidRDefault="00D738FC" w:rsidP="00124D3F">
      <w:r>
        <w:fldChar w:fldCharType="begin"/>
      </w:r>
      <w:r>
        <w:instrText xml:space="preserve"> REF OrgName </w:instrText>
      </w:r>
      <w:r>
        <w:fldChar w:fldCharType="separate"/>
      </w:r>
      <w:r w:rsidR="00EE20EF">
        <w:t>Organization Name</w:t>
      </w:r>
      <w:r>
        <w:fldChar w:fldCharType="end"/>
      </w:r>
      <w:r w:rsidR="00124D3F">
        <w:t xml:space="preserve"> has developed </w:t>
      </w:r>
      <w:r w:rsidR="000D32BA">
        <w:t xml:space="preserve">procedures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These p</w:t>
      </w:r>
      <w:r w:rsidR="000D32BA">
        <w:t>rocedures</w:t>
      </w:r>
      <w:r w:rsidR="00124D3F" w:rsidRPr="00C92CC5">
        <w:t xml:space="preserve"> are set forth by </w:t>
      </w:r>
      <w:r>
        <w:fldChar w:fldCharType="begin"/>
      </w:r>
      <w:r>
        <w:instrText xml:space="preserve"> REF OrgName </w:instrText>
      </w:r>
      <w:r>
        <w:fldChar w:fldCharType="separate"/>
      </w:r>
      <w:r w:rsidR="00EE20EF">
        <w:t>Organization Name</w:t>
      </w:r>
      <w:r>
        <w:fldChar w:fldCharType="end"/>
      </w:r>
      <w:r w:rsidR="00E959C7">
        <w:t xml:space="preserve">, </w:t>
      </w:r>
      <w:r w:rsidR="3B9060C8">
        <w:t>m</w:t>
      </w:r>
      <w:r w:rsidR="00124D3F">
        <w:t>anagement and</w:t>
      </w:r>
      <w:r w:rsidR="00124D3F" w:rsidRPr="00C92CC5">
        <w:t xml:space="preserve"> in compliance with the </w:t>
      </w:r>
      <w:r w:rsidR="00124D3F">
        <w:t>A</w:t>
      </w:r>
      <w:r w:rsidR="003B5610">
        <w:t>udit &amp; Accountability</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8969"/>
      <w:r w:rsidRPr="00C92CC5">
        <w:t>Purpose</w:t>
      </w:r>
      <w:bookmarkEnd w:id="29"/>
      <w:bookmarkEnd w:id="30"/>
      <w:bookmarkEnd w:id="31"/>
      <w:bookmarkEnd w:id="32"/>
      <w:bookmarkEnd w:id="33"/>
    </w:p>
    <w:p w14:paraId="59829F9C" w14:textId="77777777" w:rsidR="000D32BA" w:rsidRDefault="000D32BA" w:rsidP="000D32BA">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audit and accountability procedures. These procedures are in place to facilitate the implementation of the Audit and Accountability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598970"/>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4BAB6D10" w:rsidR="00124D3F" w:rsidRDefault="00124D3F" w:rsidP="00124D3F">
      <w:r w:rsidRPr="00C92CC5">
        <w:t xml:space="preserve">The provisions of these policies pertain to all </w:t>
      </w:r>
      <w:r w:rsidR="00D738FC">
        <w:fldChar w:fldCharType="begin"/>
      </w:r>
      <w:r w:rsidR="00D738FC">
        <w:instrText xml:space="preserve"> REF OrgName </w:instrText>
      </w:r>
      <w:r w:rsidR="00D738FC">
        <w:fldChar w:fldCharType="separate"/>
      </w:r>
      <w:r w:rsidR="00EE20EF">
        <w:t>Organization Name</w:t>
      </w:r>
      <w:r w:rsidR="00D738FC">
        <w:fldChar w:fldCharType="end"/>
      </w:r>
      <w:r w:rsidRPr="00C92CC5">
        <w:t xml:space="preserve"> employees, contractors, third parties, and others who have access to company and customer confidential information within </w:t>
      </w:r>
      <w:r w:rsidR="00D738FC">
        <w:fldChar w:fldCharType="begin"/>
      </w:r>
      <w:r w:rsidR="00D738FC">
        <w:instrText xml:space="preserve"> REF OrgName </w:instrText>
      </w:r>
      <w:r w:rsidR="00D738FC">
        <w:fldChar w:fldCharType="separate"/>
      </w:r>
      <w:r w:rsidR="00EE20EF">
        <w:t>Organization Name</w:t>
      </w:r>
      <w:r w:rsidR="00D738FC">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8971"/>
      <w:r w:rsidRPr="00C92CC5">
        <w:t>Roles and Responsibilities</w:t>
      </w:r>
      <w:bookmarkEnd w:id="51"/>
      <w:bookmarkEnd w:id="52"/>
      <w:bookmarkEnd w:id="53"/>
      <w:bookmarkEnd w:id="54"/>
      <w:bookmarkEnd w:id="55"/>
      <w:bookmarkEnd w:id="56"/>
    </w:p>
    <w:p w14:paraId="09BF8855" w14:textId="219F92BF" w:rsidR="00124D3F" w:rsidRDefault="00124D3F" w:rsidP="00124D3F">
      <w:bookmarkStart w:id="57" w:name="_Toc398043225"/>
      <w:bookmarkStart w:id="58" w:name="_Toc399489013"/>
      <w:bookmarkStart w:id="59" w:name="_Toc498432078"/>
      <w:r w:rsidRPr="00124AE3">
        <w:t xml:space="preserve">These policies apply to all </w:t>
      </w:r>
      <w:r w:rsidR="00D738FC">
        <w:fldChar w:fldCharType="begin"/>
      </w:r>
      <w:r w:rsidR="00D738FC">
        <w:instrText xml:space="preserve"> REF OrgName </w:instrText>
      </w:r>
      <w:r w:rsidR="00D738FC">
        <w:fldChar w:fldCharType="separate"/>
      </w:r>
      <w:r w:rsidR="00EE20EF">
        <w:t>Organization Name</w:t>
      </w:r>
      <w:r w:rsidR="00D738FC">
        <w:fldChar w:fldCharType="end"/>
      </w:r>
      <w:r w:rsidRPr="00124AE3">
        <w:t xml:space="preserve"> employees, contractors, business partners, thi</w:t>
      </w:r>
      <w:r>
        <w:t>rd parties, and others who need or have</w:t>
      </w:r>
      <w:r w:rsidRPr="00124AE3">
        <w:t xml:space="preserve"> access to </w:t>
      </w:r>
      <w:r w:rsidR="00D738FC">
        <w:fldChar w:fldCharType="begin"/>
      </w:r>
      <w:r w:rsidR="00D738FC">
        <w:instrText xml:space="preserve"> REF OrgName </w:instrText>
      </w:r>
      <w:r w:rsidR="00D738FC">
        <w:fldChar w:fldCharType="separate"/>
      </w:r>
      <w:r w:rsidR="00EE20EF">
        <w:t>Organization Name</w:t>
      </w:r>
      <w:r w:rsidR="00D738FC">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D738FC">
              <w:fldChar w:fldCharType="begin"/>
            </w:r>
            <w:r w:rsidR="00D738FC">
              <w:instrText xml:space="preserve"> REF OrgName </w:instrText>
            </w:r>
            <w:r w:rsidR="00D738FC">
              <w:fldChar w:fldCharType="separate"/>
            </w:r>
            <w:r w:rsidR="006F2385">
              <w:t>Organization Name</w:t>
            </w:r>
            <w:r w:rsidR="00D738FC">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8972"/>
      <w:r w:rsidRPr="00C92CC5">
        <w:t>Management Commitment</w:t>
      </w:r>
      <w:bookmarkEnd w:id="57"/>
      <w:bookmarkEnd w:id="58"/>
      <w:bookmarkEnd w:id="59"/>
      <w:bookmarkEnd w:id="61"/>
      <w:bookmarkEnd w:id="62"/>
      <w:bookmarkEnd w:id="63"/>
      <w:bookmarkEnd w:id="64"/>
    </w:p>
    <w:p w14:paraId="23E18DD5" w14:textId="4F82B5E4" w:rsidR="00124D3F" w:rsidRDefault="00D738FC"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8973"/>
      <w:bookmarkEnd w:id="43"/>
      <w:bookmarkEnd w:id="44"/>
      <w:bookmarkEnd w:id="45"/>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D738FC">
        <w:fldChar w:fldCharType="begin"/>
      </w:r>
      <w:r w:rsidR="00D738FC">
        <w:instrText xml:space="preserve"> REF OrgName </w:instrText>
      </w:r>
      <w:r w:rsidR="00D738FC">
        <w:fldChar w:fldCharType="separate"/>
      </w:r>
      <w:r w:rsidR="00EE20EF">
        <w:t>Organization Name</w:t>
      </w:r>
      <w:r w:rsidR="00D738FC">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8974"/>
      <w:bookmarkEnd w:id="72"/>
      <w:r w:rsidRPr="00C92CC5">
        <w:t>Compliance</w:t>
      </w:r>
      <w:bookmarkEnd w:id="70"/>
      <w:bookmarkEnd w:id="71"/>
      <w:bookmarkEnd w:id="73"/>
      <w:bookmarkEnd w:id="74"/>
      <w:bookmarkEnd w:id="75"/>
    </w:p>
    <w:p w14:paraId="79481591" w14:textId="100BCC5A" w:rsidR="00124D3F" w:rsidRPr="00331E83" w:rsidRDefault="00124D3F" w:rsidP="00331E83">
      <w:r>
        <w:t xml:space="preserve">Compliance with these </w:t>
      </w:r>
      <w:r w:rsidR="000D32BA">
        <w:t>procedures</w:t>
      </w:r>
      <w:r>
        <w:t xml:space="preserve"> is mandatory. It is </w:t>
      </w:r>
      <w:r w:rsidR="00D738FC">
        <w:fldChar w:fldCharType="begin"/>
      </w:r>
      <w:r w:rsidR="00D738FC">
        <w:instrText xml:space="preserve"> REF OrgName </w:instrText>
      </w:r>
      <w:r w:rsidR="00D738FC">
        <w:fldChar w:fldCharType="separate"/>
      </w:r>
      <w:r w:rsidR="006F2385">
        <w:t>Organization Name</w:t>
      </w:r>
      <w:r w:rsidR="00D738FC">
        <w:fldChar w:fldCharType="end"/>
      </w:r>
      <w:r>
        <w:t xml:space="preserve"> p</w:t>
      </w:r>
      <w:r w:rsidR="000D32BA">
        <w:t>olicy</w:t>
      </w:r>
      <w:r>
        <w:t xml:space="preserve">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3CFB4EF4" w14:textId="77777777" w:rsidR="000D32BA" w:rsidRDefault="000D32BA" w:rsidP="000D32BA">
      <w:pPr>
        <w:pStyle w:val="Heading1"/>
      </w:pPr>
      <w:bookmarkStart w:id="76" w:name="_Toc29794734"/>
      <w:bookmarkStart w:id="77" w:name="_Toc46991448"/>
      <w:bookmarkStart w:id="78" w:name="_Toc62065341"/>
      <w:bookmarkStart w:id="79" w:name="_Toc68598975"/>
      <w:r>
        <w:lastRenderedPageBreak/>
        <w:t>Procedural Requirements</w:t>
      </w:r>
      <w:bookmarkEnd w:id="76"/>
      <w:bookmarkEnd w:id="77"/>
      <w:bookmarkEnd w:id="78"/>
      <w:bookmarkEnd w:id="79"/>
    </w:p>
    <w:p w14:paraId="1010BCF6" w14:textId="37CC36FA" w:rsidR="000D32BA" w:rsidRDefault="000D32BA" w:rsidP="000D32BA">
      <w:r>
        <w:t xml:space="preserve">The following audit and accountability requirements, mechanisms, and provisions are to be followed by all employees, management, contractors, and other users who access and support the </w:t>
      </w:r>
      <w:r w:rsidR="00D738FC">
        <w:fldChar w:fldCharType="begin"/>
      </w:r>
      <w:r w:rsidR="00D738FC">
        <w:instrText xml:space="preserve"> REF OrgName </w:instrText>
      </w:r>
      <w:r w:rsidR="00D738FC">
        <w:fldChar w:fldCharType="separate"/>
      </w:r>
      <w:r>
        <w:t>Organization Name</w:t>
      </w:r>
      <w:r w:rsidR="00D738FC">
        <w:fldChar w:fldCharType="end"/>
      </w:r>
      <w:r w:rsidRPr="00C92CC5">
        <w:t xml:space="preserve"> </w:t>
      </w:r>
      <w:r>
        <w:t xml:space="preserve">information systems. </w:t>
      </w:r>
    </w:p>
    <w:p w14:paraId="6D2DE66E" w14:textId="77777777" w:rsidR="000D32BA" w:rsidRDefault="000D32BA" w:rsidP="000D32BA">
      <w:pPr>
        <w:pStyle w:val="Heading2"/>
      </w:pPr>
      <w:bookmarkStart w:id="80" w:name="_Toc36729323"/>
      <w:bookmarkStart w:id="81" w:name="_Toc62065342"/>
      <w:bookmarkStart w:id="82" w:name="_Toc68598976"/>
      <w:r>
        <w:t>Configuring Auditable Events</w:t>
      </w:r>
      <w:bookmarkEnd w:id="80"/>
      <w:bookmarkEnd w:id="81"/>
      <w:bookmarkEnd w:id="82"/>
    </w:p>
    <w:p w14:paraId="14EE0B97" w14:textId="6A2EB482" w:rsidR="000D32BA" w:rsidRDefault="000D32BA" w:rsidP="000D32BA">
      <w:pPr>
        <w:pStyle w:val="BulletLevel1"/>
      </w:pPr>
      <w:r>
        <w:t xml:space="preserve">The information system implements audit logging mechanisms for the information system and application using the audit logging solution, </w:t>
      </w:r>
      <w:r w:rsidRPr="000D32BA">
        <w:rPr>
          <w:highlight w:val="yellow"/>
        </w:rPr>
        <w:t>{Tool}.</w:t>
      </w:r>
    </w:p>
    <w:p w14:paraId="0B3F5CA0" w14:textId="369B1DDF" w:rsidR="000D32BA" w:rsidRDefault="000D32BA" w:rsidP="000D32BA">
      <w:pPr>
        <w:pStyle w:val="BulletLevel1"/>
        <w:rPr>
          <w:rFonts w:ascii="Graphik Regular" w:hAnsi="Graphik Regular"/>
          <w:color w:val="2B3339"/>
          <w:sz w:val="20"/>
        </w:rPr>
      </w:pPr>
      <w:r w:rsidRPr="000D32BA">
        <w:rPr>
          <w:highlight w:val="yellow"/>
        </w:rPr>
        <w:t>{Tool}</w:t>
      </w:r>
      <w:r>
        <w:t xml:space="preserve">is capable and will be configured to provide audit reduction and generate dashboards, including audit records that are based on selectable event criteria. </w:t>
      </w:r>
      <w:r w:rsidRPr="000D32BA">
        <w:rPr>
          <w:highlight w:val="yellow"/>
        </w:rPr>
        <w:t>{Tool}</w:t>
      </w:r>
      <w:r>
        <w:t xml:space="preserve"> is the location where the data displayed through </w:t>
      </w:r>
      <w:r w:rsidRPr="000D32BA">
        <w:rPr>
          <w:highlight w:val="yellow"/>
        </w:rPr>
        <w:t>{Tool}</w:t>
      </w:r>
      <w:r>
        <w:t xml:space="preserve"> retained. </w:t>
      </w:r>
      <w:r w:rsidRPr="000D32BA">
        <w:rPr>
          <w:highlight w:val="yellow"/>
        </w:rPr>
        <w:t>{Tool}</w:t>
      </w:r>
      <w:r>
        <w:t xml:space="preserve"> can be used to produce on-demand reports. </w:t>
      </w:r>
      <w:r w:rsidRPr="000D32BA">
        <w:rPr>
          <w:highlight w:val="yellow"/>
        </w:rPr>
        <w:t>{Tool}</w:t>
      </w:r>
      <w:r>
        <w:t xml:space="preserve"> supports on-demand review and analysis of events. </w:t>
      </w:r>
      <w:r w:rsidRPr="000D32BA">
        <w:rPr>
          <w:highlight w:val="yellow"/>
        </w:rPr>
        <w:t>{Tool}</w:t>
      </w:r>
      <w:r>
        <w:t xml:space="preserve"> supports reporting and after-the-fact investigation of security incidents. </w:t>
      </w:r>
      <w:r w:rsidRPr="000D32BA">
        <w:rPr>
          <w:highlight w:val="yellow"/>
        </w:rPr>
        <w:t>{Tool}</w:t>
      </w:r>
      <w:r>
        <w:t xml:space="preserve"> is also configured to not alter the original content or time ordering of audit records.  If a new audit logging solution is being considered, the </w:t>
      </w:r>
      <w:r w:rsidRPr="000D32BA">
        <w:rPr>
          <w:highlight w:val="yellow"/>
        </w:rPr>
        <w:t>{Role}</w:t>
      </w:r>
      <w:r>
        <w:t xml:space="preserve"> shall verify that the solution is capable of audit reduction and report generation. </w:t>
      </w:r>
    </w:p>
    <w:p w14:paraId="18D12584" w14:textId="77777777" w:rsidR="000D32BA" w:rsidRDefault="000D32BA" w:rsidP="000D32BA">
      <w:pPr>
        <w:pStyle w:val="Heading2"/>
      </w:pPr>
      <w:bookmarkStart w:id="83" w:name="_Toc36729325"/>
      <w:bookmarkStart w:id="84" w:name="_Toc62065343"/>
      <w:bookmarkStart w:id="85" w:name="_Toc68598977"/>
      <w:r>
        <w:t>Auditable Events</w:t>
      </w:r>
      <w:bookmarkEnd w:id="83"/>
      <w:bookmarkEnd w:id="84"/>
      <w:bookmarkEnd w:id="85"/>
    </w:p>
    <w:p w14:paraId="2A99060E" w14:textId="6400E7DE" w:rsidR="000D32BA" w:rsidRDefault="000D32BA" w:rsidP="000D32BA">
      <w:pPr>
        <w:pStyle w:val="BulletLevel1"/>
      </w:pPr>
      <w:r>
        <w:t xml:space="preserve">Auditable events are to be defined for the information system and web application where applicable. It is the responsibility of the </w:t>
      </w:r>
      <w:r w:rsidRPr="000D32BA">
        <w:rPr>
          <w:highlight w:val="yellow"/>
        </w:rPr>
        <w:t>{Role}</w:t>
      </w:r>
      <w:r>
        <w:t xml:space="preserve"> to define the list of auditable events within the settings of the audit logging solution. </w:t>
      </w:r>
    </w:p>
    <w:p w14:paraId="4B8A1D67" w14:textId="427AFE99" w:rsidR="000D32BA" w:rsidRDefault="000D32BA" w:rsidP="000D32BA">
      <w:pPr>
        <w:pStyle w:val="BulletLevel1"/>
      </w:pPr>
      <w:r>
        <w:t xml:space="preserve">Security audit functions will be coordinated with other </w:t>
      </w:r>
      <w:r w:rsidR="00D738FC">
        <w:fldChar w:fldCharType="begin"/>
      </w:r>
      <w:r w:rsidR="00D738FC">
        <w:instrText xml:space="preserve"> REF OrgName </w:instrText>
      </w:r>
      <w:r w:rsidR="00D738FC">
        <w:fldChar w:fldCharType="separate"/>
      </w:r>
      <w:r>
        <w:t>Organization Name</w:t>
      </w:r>
      <w:r w:rsidR="00D738FC">
        <w:fldChar w:fldCharType="end"/>
      </w:r>
      <w:r w:rsidRPr="00C92CC5">
        <w:t xml:space="preserve"> </w:t>
      </w:r>
      <w:r>
        <w:t xml:space="preserve">entities such as </w:t>
      </w:r>
      <w:r w:rsidRPr="000D32BA">
        <w:rPr>
          <w:highlight w:val="yellow"/>
        </w:rPr>
        <w:t>{Roles/Teams}</w:t>
      </w:r>
      <w:r>
        <w:t xml:space="preserve"> requiring audit-related information. Using </w:t>
      </w:r>
      <w:r w:rsidRPr="000D32BA">
        <w:rPr>
          <w:highlight w:val="yellow"/>
        </w:rPr>
        <w:t>{Tool}</w:t>
      </w:r>
      <w:r>
        <w:t xml:space="preserve">, the </w:t>
      </w:r>
      <w:r w:rsidRPr="000D32BA">
        <w:rPr>
          <w:highlight w:val="yellow"/>
        </w:rPr>
        <w:t>{Roles/Teams}</w:t>
      </w:r>
      <w:r>
        <w:t xml:space="preserve"> will configure the following minimum auditable events:</w:t>
      </w:r>
    </w:p>
    <w:p w14:paraId="0C96DBDA" w14:textId="470E8D4E" w:rsidR="000D32BA" w:rsidRDefault="000D32BA" w:rsidP="000D32BA">
      <w:pPr>
        <w:pStyle w:val="BulletLevel1"/>
        <w:numPr>
          <w:ilvl w:val="0"/>
          <w:numId w:val="30"/>
        </w:numPr>
        <w:spacing w:after="0"/>
        <w:ind w:left="720"/>
        <w:rPr>
          <w:b/>
        </w:rPr>
      </w:pPr>
      <w:r>
        <w:rPr>
          <w:b/>
        </w:rPr>
        <w:t xml:space="preserve">Information System: </w:t>
      </w:r>
      <w:r w:rsidRPr="000D32BA">
        <w:rPr>
          <w:highlight w:val="yellow"/>
        </w:rPr>
        <w:t>{Tool}</w:t>
      </w:r>
    </w:p>
    <w:p w14:paraId="127CEF19" w14:textId="77777777" w:rsidR="000D32BA" w:rsidRDefault="000D32BA" w:rsidP="000D32BA">
      <w:pPr>
        <w:pStyle w:val="BulletLevel2"/>
        <w:numPr>
          <w:ilvl w:val="1"/>
          <w:numId w:val="30"/>
        </w:numPr>
        <w:spacing w:after="0"/>
        <w:ind w:left="1080"/>
        <w:rPr>
          <w:rFonts w:ascii="Graphik Regular" w:hAnsi="Graphik Regular"/>
          <w:color w:val="2B3339"/>
          <w:sz w:val="20"/>
        </w:rPr>
      </w:pPr>
      <w:r>
        <w:t>Successful and unsuccessful account logon events</w:t>
      </w:r>
    </w:p>
    <w:p w14:paraId="5DED4EB3" w14:textId="77777777" w:rsidR="000D32BA" w:rsidRDefault="000D32BA" w:rsidP="000D32BA">
      <w:pPr>
        <w:pStyle w:val="BulletLevel2"/>
        <w:numPr>
          <w:ilvl w:val="1"/>
          <w:numId w:val="30"/>
        </w:numPr>
        <w:spacing w:after="0"/>
        <w:ind w:left="1080"/>
      </w:pPr>
      <w:r>
        <w:t>Account management events (e.g. new account created, user account deleted, etc.)</w:t>
      </w:r>
    </w:p>
    <w:p w14:paraId="73F100D7" w14:textId="77777777" w:rsidR="000D32BA" w:rsidRDefault="000D32BA" w:rsidP="000D32BA">
      <w:pPr>
        <w:pStyle w:val="BulletLevel2"/>
        <w:numPr>
          <w:ilvl w:val="1"/>
          <w:numId w:val="30"/>
        </w:numPr>
        <w:spacing w:after="0"/>
        <w:ind w:left="1080"/>
      </w:pPr>
      <w:r>
        <w:t>Policy changes</w:t>
      </w:r>
    </w:p>
    <w:p w14:paraId="7FBA33CF" w14:textId="77777777" w:rsidR="000D32BA" w:rsidRDefault="000D32BA" w:rsidP="000D32BA">
      <w:pPr>
        <w:pStyle w:val="BulletLevel2"/>
        <w:numPr>
          <w:ilvl w:val="1"/>
          <w:numId w:val="30"/>
        </w:numPr>
        <w:spacing w:after="0"/>
        <w:ind w:left="1080"/>
      </w:pPr>
      <w:r>
        <w:t>Privilege functions (e.g. administrator activity)</w:t>
      </w:r>
    </w:p>
    <w:p w14:paraId="25628835" w14:textId="77777777" w:rsidR="000D32BA" w:rsidRDefault="000D32BA" w:rsidP="000D32BA">
      <w:pPr>
        <w:pStyle w:val="BulletLevel2"/>
        <w:numPr>
          <w:ilvl w:val="1"/>
          <w:numId w:val="30"/>
        </w:numPr>
        <w:ind w:left="1080"/>
      </w:pPr>
      <w:r>
        <w:t xml:space="preserve">System events or </w:t>
      </w:r>
      <w:proofErr w:type="spellStart"/>
      <w:r>
        <w:t>syslogs</w:t>
      </w:r>
      <w:proofErr w:type="spellEnd"/>
    </w:p>
    <w:p w14:paraId="50102468" w14:textId="5394E04B" w:rsidR="000D32BA" w:rsidRDefault="000D32BA" w:rsidP="000D32BA">
      <w:pPr>
        <w:pStyle w:val="BulletLevel1"/>
        <w:numPr>
          <w:ilvl w:val="0"/>
          <w:numId w:val="30"/>
        </w:numPr>
        <w:spacing w:after="0"/>
        <w:ind w:left="720"/>
        <w:rPr>
          <w:b/>
        </w:rPr>
      </w:pPr>
      <w:r>
        <w:rPr>
          <w:b/>
        </w:rPr>
        <w:t xml:space="preserve">Web Application: </w:t>
      </w:r>
      <w:r w:rsidRPr="000D32BA">
        <w:rPr>
          <w:highlight w:val="yellow"/>
        </w:rPr>
        <w:t>{Tool}</w:t>
      </w:r>
    </w:p>
    <w:p w14:paraId="16518ABE" w14:textId="77777777" w:rsidR="000D32BA" w:rsidRDefault="000D32BA" w:rsidP="000D32BA">
      <w:pPr>
        <w:pStyle w:val="BulletLevel2"/>
        <w:numPr>
          <w:ilvl w:val="1"/>
          <w:numId w:val="30"/>
        </w:numPr>
        <w:spacing w:after="0"/>
        <w:ind w:left="1080"/>
        <w:rPr>
          <w:rFonts w:ascii="Graphik Regular" w:hAnsi="Graphik Regular"/>
          <w:color w:val="2B3339"/>
          <w:sz w:val="20"/>
        </w:rPr>
      </w:pPr>
      <w:r>
        <w:t>Administrator activity</w:t>
      </w:r>
    </w:p>
    <w:p w14:paraId="51445026" w14:textId="77777777" w:rsidR="000D32BA" w:rsidRDefault="000D32BA" w:rsidP="000D32BA">
      <w:pPr>
        <w:pStyle w:val="BulletLevel2"/>
        <w:numPr>
          <w:ilvl w:val="1"/>
          <w:numId w:val="30"/>
        </w:numPr>
        <w:spacing w:after="0"/>
        <w:ind w:left="1080"/>
      </w:pPr>
      <w:r>
        <w:t>Authentication checks</w:t>
      </w:r>
    </w:p>
    <w:p w14:paraId="44C39354" w14:textId="77777777" w:rsidR="000D32BA" w:rsidRDefault="000D32BA" w:rsidP="000D32BA">
      <w:pPr>
        <w:pStyle w:val="BulletLevel2"/>
        <w:numPr>
          <w:ilvl w:val="1"/>
          <w:numId w:val="30"/>
        </w:numPr>
        <w:spacing w:after="0"/>
        <w:ind w:left="1080"/>
      </w:pPr>
      <w:r>
        <w:t>Authorization checks</w:t>
      </w:r>
    </w:p>
    <w:p w14:paraId="1DF7C8F9" w14:textId="77777777" w:rsidR="000D32BA" w:rsidRDefault="000D32BA" w:rsidP="000D32BA">
      <w:pPr>
        <w:pStyle w:val="BulletLevel2"/>
        <w:numPr>
          <w:ilvl w:val="1"/>
          <w:numId w:val="30"/>
        </w:numPr>
        <w:spacing w:after="0"/>
        <w:ind w:left="1080"/>
      </w:pPr>
      <w:r>
        <w:t>Sensitive data deletions</w:t>
      </w:r>
    </w:p>
    <w:p w14:paraId="45E5A890" w14:textId="77777777" w:rsidR="000D32BA" w:rsidRDefault="000D32BA" w:rsidP="000D32BA">
      <w:pPr>
        <w:pStyle w:val="BulletLevel2"/>
        <w:numPr>
          <w:ilvl w:val="1"/>
          <w:numId w:val="30"/>
        </w:numPr>
        <w:spacing w:after="0"/>
        <w:ind w:left="1080"/>
      </w:pPr>
      <w:r>
        <w:t>Sensitive data access</w:t>
      </w:r>
    </w:p>
    <w:p w14:paraId="16806752" w14:textId="77777777" w:rsidR="000D32BA" w:rsidRDefault="000D32BA" w:rsidP="000D32BA">
      <w:pPr>
        <w:pStyle w:val="BulletLevel2"/>
        <w:numPr>
          <w:ilvl w:val="1"/>
          <w:numId w:val="30"/>
        </w:numPr>
        <w:spacing w:after="0"/>
        <w:ind w:left="1080"/>
      </w:pPr>
      <w:r>
        <w:t>Sensitive data changes</w:t>
      </w:r>
    </w:p>
    <w:p w14:paraId="57086172" w14:textId="77777777" w:rsidR="000D32BA" w:rsidRDefault="000D32BA" w:rsidP="000D32BA">
      <w:pPr>
        <w:pStyle w:val="BulletLevel2"/>
        <w:numPr>
          <w:ilvl w:val="1"/>
          <w:numId w:val="30"/>
        </w:numPr>
        <w:spacing w:after="0"/>
        <w:ind w:left="1080"/>
      </w:pPr>
      <w:r>
        <w:t>Permission changes</w:t>
      </w:r>
    </w:p>
    <w:p w14:paraId="778F3624" w14:textId="77777777" w:rsidR="000D32BA" w:rsidRDefault="000D32BA" w:rsidP="000D32BA">
      <w:pPr>
        <w:pStyle w:val="BulletLevel2"/>
        <w:numPr>
          <w:ilvl w:val="0"/>
          <w:numId w:val="0"/>
        </w:numPr>
        <w:spacing w:after="0"/>
      </w:pPr>
    </w:p>
    <w:p w14:paraId="4C1CFA37" w14:textId="77777777" w:rsidR="000D32BA" w:rsidRDefault="000D32BA" w:rsidP="000D32BA">
      <w:pPr>
        <w:pStyle w:val="BulletLevel2"/>
        <w:numPr>
          <w:ilvl w:val="0"/>
          <w:numId w:val="0"/>
        </w:numPr>
        <w:spacing w:after="0"/>
      </w:pPr>
    </w:p>
    <w:p w14:paraId="0EB7E2A1" w14:textId="77777777" w:rsidR="000D32BA" w:rsidRDefault="000D32BA" w:rsidP="000D32BA">
      <w:pPr>
        <w:pStyle w:val="BulletLevel2"/>
        <w:numPr>
          <w:ilvl w:val="0"/>
          <w:numId w:val="0"/>
        </w:numPr>
        <w:spacing w:after="0"/>
      </w:pPr>
    </w:p>
    <w:p w14:paraId="3F7DFB60" w14:textId="77777777" w:rsidR="000D32BA" w:rsidRDefault="000D32BA" w:rsidP="000D32BA">
      <w:pPr>
        <w:pStyle w:val="BulletLevel2"/>
        <w:numPr>
          <w:ilvl w:val="0"/>
          <w:numId w:val="0"/>
        </w:numPr>
        <w:spacing w:after="0"/>
      </w:pPr>
    </w:p>
    <w:p w14:paraId="5F217740" w14:textId="1D1EC851" w:rsidR="000D32BA" w:rsidRDefault="000D32BA" w:rsidP="000D32BA">
      <w:pPr>
        <w:pStyle w:val="BulletLevel2"/>
        <w:numPr>
          <w:ilvl w:val="0"/>
          <w:numId w:val="30"/>
        </w:numPr>
        <w:spacing w:after="0"/>
        <w:ind w:left="720"/>
        <w:rPr>
          <w:b/>
        </w:rPr>
      </w:pPr>
      <w:r>
        <w:rPr>
          <w:b/>
        </w:rPr>
        <w:lastRenderedPageBreak/>
        <w:t>{</w:t>
      </w:r>
      <w:r w:rsidRPr="000D32BA">
        <w:rPr>
          <w:b/>
          <w:highlight w:val="yellow"/>
        </w:rPr>
        <w:t>Security Tools</w:t>
      </w:r>
      <w:r>
        <w:rPr>
          <w:b/>
        </w:rPr>
        <w:t xml:space="preserve">}: </w:t>
      </w:r>
      <w:r w:rsidRPr="000D32BA">
        <w:rPr>
          <w:highlight w:val="yellow"/>
        </w:rPr>
        <w:t>{Tool}</w:t>
      </w:r>
    </w:p>
    <w:p w14:paraId="21E8C93D" w14:textId="77777777" w:rsidR="000D32BA" w:rsidRDefault="000D32BA" w:rsidP="000D32BA">
      <w:pPr>
        <w:pStyle w:val="BulletLevel2"/>
        <w:numPr>
          <w:ilvl w:val="1"/>
          <w:numId w:val="30"/>
        </w:numPr>
        <w:spacing w:after="0"/>
        <w:ind w:left="1080"/>
      </w:pPr>
      <w:r>
        <w:t>Threat events</w:t>
      </w:r>
    </w:p>
    <w:p w14:paraId="7A7CEDB7" w14:textId="77777777" w:rsidR="000D32BA" w:rsidRDefault="000D32BA" w:rsidP="000D32BA">
      <w:pPr>
        <w:pStyle w:val="BulletLevel2"/>
        <w:numPr>
          <w:ilvl w:val="1"/>
          <w:numId w:val="30"/>
        </w:numPr>
        <w:spacing w:after="0"/>
        <w:ind w:left="1080"/>
      </w:pPr>
      <w:r>
        <w:t>Application control events</w:t>
      </w:r>
    </w:p>
    <w:p w14:paraId="25B88D67" w14:textId="77777777" w:rsidR="000D32BA" w:rsidRDefault="000D32BA" w:rsidP="000D32BA">
      <w:pPr>
        <w:pStyle w:val="BulletLevel2"/>
        <w:numPr>
          <w:ilvl w:val="1"/>
          <w:numId w:val="30"/>
        </w:numPr>
        <w:spacing w:after="0"/>
        <w:ind w:left="1080"/>
      </w:pPr>
      <w:r>
        <w:t>Host Intrusion Prevention System (HIPS) events</w:t>
      </w:r>
    </w:p>
    <w:p w14:paraId="34156F14" w14:textId="77777777" w:rsidR="000D32BA" w:rsidRDefault="000D32BA" w:rsidP="000D32BA">
      <w:pPr>
        <w:pStyle w:val="BulletLevel2"/>
        <w:numPr>
          <w:ilvl w:val="1"/>
          <w:numId w:val="30"/>
        </w:numPr>
        <w:spacing w:after="0"/>
        <w:ind w:left="1080"/>
      </w:pPr>
      <w:r>
        <w:t>Firewall deny events</w:t>
      </w:r>
    </w:p>
    <w:p w14:paraId="45B4D61E" w14:textId="7F6E0CC3" w:rsidR="000D32BA" w:rsidRDefault="000D32BA" w:rsidP="000D32BA">
      <w:pPr>
        <w:pStyle w:val="BulletLevel2"/>
        <w:numPr>
          <w:ilvl w:val="0"/>
          <w:numId w:val="30"/>
        </w:numPr>
        <w:ind w:left="720"/>
        <w:rPr>
          <w:b/>
        </w:rPr>
      </w:pPr>
      <w:r w:rsidRPr="000D32BA">
        <w:rPr>
          <w:b/>
          <w:highlight w:val="yellow"/>
        </w:rPr>
        <w:t>{Network Tools}:</w:t>
      </w:r>
      <w:r>
        <w:rPr>
          <w:b/>
        </w:rPr>
        <w:t xml:space="preserve"> </w:t>
      </w:r>
      <w:r w:rsidRPr="000D32BA">
        <w:rPr>
          <w:highlight w:val="yellow"/>
        </w:rPr>
        <w:t>{Tool}</w:t>
      </w:r>
    </w:p>
    <w:p w14:paraId="45871C0F" w14:textId="67D55D17" w:rsidR="000D32BA" w:rsidRDefault="000D32BA" w:rsidP="000D32BA">
      <w:pPr>
        <w:pStyle w:val="BulletLevel2"/>
        <w:numPr>
          <w:ilvl w:val="1"/>
          <w:numId w:val="30"/>
        </w:numPr>
        <w:ind w:left="1080"/>
      </w:pPr>
      <w:r>
        <w:t>All inbound and outbound network logs</w:t>
      </w:r>
    </w:p>
    <w:p w14:paraId="6B4C3926" w14:textId="77EB2D44" w:rsidR="000D32BA" w:rsidRDefault="000D32BA" w:rsidP="000D32BA">
      <w:pPr>
        <w:pStyle w:val="BulletLevel2"/>
        <w:numPr>
          <w:ilvl w:val="0"/>
          <w:numId w:val="30"/>
        </w:numPr>
        <w:ind w:left="720"/>
        <w:rPr>
          <w:b/>
        </w:rPr>
      </w:pPr>
      <w:r w:rsidRPr="000D32BA">
        <w:rPr>
          <w:b/>
          <w:highlight w:val="yellow"/>
        </w:rPr>
        <w:t>{VPN}</w:t>
      </w:r>
      <w:r>
        <w:rPr>
          <w:b/>
        </w:rPr>
        <w:t xml:space="preserve">: </w:t>
      </w:r>
      <w:r w:rsidRPr="000D32BA">
        <w:rPr>
          <w:highlight w:val="yellow"/>
        </w:rPr>
        <w:t>{Tool}</w:t>
      </w:r>
    </w:p>
    <w:p w14:paraId="66394E81" w14:textId="213A1FCF" w:rsidR="000D32BA" w:rsidRDefault="000D32BA" w:rsidP="000D32BA">
      <w:pPr>
        <w:pStyle w:val="BulletLevel1"/>
      </w:pPr>
      <w:r>
        <w:t xml:space="preserve">It is the responsibility of the </w:t>
      </w:r>
      <w:r w:rsidRPr="000D32BA">
        <w:rPr>
          <w:highlight w:val="yellow"/>
        </w:rPr>
        <w:t>{Role}</w:t>
      </w:r>
      <w:r>
        <w:t xml:space="preserve"> to review and update the list of each auditable event on an annual basis or change in the threat environment through the change security risk assessment. </w:t>
      </w:r>
    </w:p>
    <w:p w14:paraId="3F8593B0" w14:textId="77777777" w:rsidR="000D32BA" w:rsidRDefault="000D32BA" w:rsidP="000D32BA">
      <w:pPr>
        <w:pStyle w:val="Heading2"/>
      </w:pPr>
      <w:bookmarkStart w:id="86" w:name="_Toc36729326"/>
      <w:bookmarkStart w:id="87" w:name="_Toc62065344"/>
      <w:bookmarkStart w:id="88" w:name="_Toc68598978"/>
      <w:r>
        <w:t>Configuring Audit Records</w:t>
      </w:r>
      <w:bookmarkEnd w:id="86"/>
      <w:bookmarkEnd w:id="87"/>
      <w:bookmarkEnd w:id="88"/>
    </w:p>
    <w:p w14:paraId="027FA534" w14:textId="451F000C" w:rsidR="000D32BA" w:rsidRDefault="000D32BA" w:rsidP="000D32BA">
      <w:pPr>
        <w:pStyle w:val="BulletLevel1"/>
      </w:pPr>
      <w:r>
        <w:t xml:space="preserve">When applicable, the information system and web application are configured to produce audit records. At a minimum, </w:t>
      </w:r>
      <w:r w:rsidRPr="000D32BA">
        <w:rPr>
          <w:highlight w:val="yellow"/>
        </w:rPr>
        <w:t>{Tool}</w:t>
      </w:r>
      <w:r>
        <w:t xml:space="preserve"> is configured to produce the following content:</w:t>
      </w:r>
    </w:p>
    <w:p w14:paraId="75F15C55" w14:textId="77777777" w:rsidR="000D32BA" w:rsidRDefault="000D32BA" w:rsidP="000D32BA">
      <w:pPr>
        <w:pStyle w:val="BulletLevel2"/>
        <w:numPr>
          <w:ilvl w:val="0"/>
          <w:numId w:val="30"/>
        </w:numPr>
        <w:ind w:left="720"/>
      </w:pPr>
      <w:r>
        <w:t>Type of event</w:t>
      </w:r>
    </w:p>
    <w:p w14:paraId="47701BAC" w14:textId="77777777" w:rsidR="000D32BA" w:rsidRDefault="000D32BA" w:rsidP="000D32BA">
      <w:pPr>
        <w:pStyle w:val="BulletLevel2"/>
        <w:numPr>
          <w:ilvl w:val="0"/>
          <w:numId w:val="30"/>
        </w:numPr>
        <w:ind w:left="720"/>
      </w:pPr>
      <w:r>
        <w:t>Data and time of the event</w:t>
      </w:r>
    </w:p>
    <w:p w14:paraId="32E26A87" w14:textId="77777777" w:rsidR="000D32BA" w:rsidRDefault="000D32BA" w:rsidP="000D32BA">
      <w:pPr>
        <w:pStyle w:val="BulletLevel2"/>
        <w:numPr>
          <w:ilvl w:val="0"/>
          <w:numId w:val="30"/>
        </w:numPr>
        <w:ind w:left="720"/>
      </w:pPr>
      <w:r>
        <w:t>Source of the event</w:t>
      </w:r>
    </w:p>
    <w:p w14:paraId="331D9D1A" w14:textId="77777777" w:rsidR="000D32BA" w:rsidRDefault="000D32BA" w:rsidP="000D32BA">
      <w:pPr>
        <w:pStyle w:val="BulletLevel2"/>
        <w:numPr>
          <w:ilvl w:val="0"/>
          <w:numId w:val="30"/>
        </w:numPr>
        <w:ind w:left="720"/>
      </w:pPr>
      <w:r>
        <w:t>Outcome of the event (either success or failure)</w:t>
      </w:r>
    </w:p>
    <w:p w14:paraId="1220C30B" w14:textId="77777777" w:rsidR="000D32BA" w:rsidRDefault="000D32BA" w:rsidP="000D32BA">
      <w:pPr>
        <w:pStyle w:val="BulletLevel2"/>
        <w:numPr>
          <w:ilvl w:val="0"/>
          <w:numId w:val="30"/>
        </w:numPr>
        <w:ind w:left="720"/>
      </w:pPr>
      <w:r>
        <w:t>Identity of the user/subject associated with the event</w:t>
      </w:r>
    </w:p>
    <w:p w14:paraId="0DE7333F" w14:textId="51519E41" w:rsidR="000D32BA" w:rsidRDefault="000D32BA" w:rsidP="000D32BA">
      <w:pPr>
        <w:pStyle w:val="BulletLevel1"/>
      </w:pPr>
      <w:r>
        <w:t>The audit logging solution on the information system within the Network flow logs will be configured to log the following:</w:t>
      </w:r>
    </w:p>
    <w:p w14:paraId="79A5BED7" w14:textId="77777777" w:rsidR="000D32BA" w:rsidRDefault="000D32BA" w:rsidP="000D32BA">
      <w:pPr>
        <w:pStyle w:val="BulletLevel2"/>
        <w:numPr>
          <w:ilvl w:val="0"/>
          <w:numId w:val="30"/>
        </w:numPr>
        <w:ind w:left="720"/>
      </w:pPr>
      <w:r>
        <w:t>Session, connection, transaction, or activity duration</w:t>
      </w:r>
    </w:p>
    <w:p w14:paraId="66973ED5" w14:textId="77777777" w:rsidR="000D32BA" w:rsidRDefault="000D32BA" w:rsidP="000D32BA">
      <w:pPr>
        <w:pStyle w:val="BulletLevel2"/>
        <w:numPr>
          <w:ilvl w:val="0"/>
          <w:numId w:val="30"/>
        </w:numPr>
        <w:ind w:left="720"/>
      </w:pPr>
      <w:r>
        <w:t>For client-server transactions: the number of bytes received and sent</w:t>
      </w:r>
    </w:p>
    <w:p w14:paraId="53524D9D" w14:textId="77777777" w:rsidR="000D32BA" w:rsidRDefault="000D32BA" w:rsidP="000D32BA">
      <w:pPr>
        <w:pStyle w:val="BulletLevel2"/>
        <w:numPr>
          <w:ilvl w:val="0"/>
          <w:numId w:val="30"/>
        </w:numPr>
        <w:ind w:left="720"/>
      </w:pPr>
      <w:r>
        <w:t>Additional informational messages to diagnose or identify the event</w:t>
      </w:r>
    </w:p>
    <w:p w14:paraId="177870E1" w14:textId="77777777" w:rsidR="000D32BA" w:rsidRDefault="000D32BA" w:rsidP="000D32BA">
      <w:pPr>
        <w:pStyle w:val="BulletLevel2"/>
        <w:numPr>
          <w:ilvl w:val="0"/>
          <w:numId w:val="30"/>
        </w:numPr>
        <w:ind w:left="720"/>
      </w:pPr>
      <w:r>
        <w:t>Characteristics that describe or identify the object or resource being acted upon</w:t>
      </w:r>
    </w:p>
    <w:p w14:paraId="028F3059" w14:textId="67EEF2BD" w:rsidR="000D32BA" w:rsidRDefault="000D32BA" w:rsidP="000D32BA">
      <w:pPr>
        <w:pStyle w:val="BulletLevel1"/>
      </w:pPr>
      <w:r>
        <w:t xml:space="preserve">The </w:t>
      </w:r>
      <w:r w:rsidRPr="000D32BA">
        <w:rPr>
          <w:highlight w:val="yellow"/>
        </w:rPr>
        <w:t>{Role}</w:t>
      </w:r>
      <w:r>
        <w:t xml:space="preserve"> will validate periodically that the audit records contain the above audit record content.</w:t>
      </w:r>
    </w:p>
    <w:p w14:paraId="4A3E7A2F" w14:textId="77777777" w:rsidR="000D32BA" w:rsidRDefault="000D32BA" w:rsidP="000D32BA">
      <w:pPr>
        <w:pStyle w:val="BulletLevel1"/>
        <w:rPr>
          <w:rFonts w:ascii="Graphik Regular" w:hAnsi="Graphik Regular"/>
          <w:color w:val="2B3339"/>
          <w:sz w:val="20"/>
        </w:rPr>
      </w:pPr>
    </w:p>
    <w:p w14:paraId="59E22B3A" w14:textId="77777777" w:rsidR="000D32BA" w:rsidRDefault="000D32BA" w:rsidP="000D32BA">
      <w:pPr>
        <w:pStyle w:val="Heading2"/>
      </w:pPr>
      <w:bookmarkStart w:id="89" w:name="_Toc36729328"/>
      <w:bookmarkStart w:id="90" w:name="_Toc62065345"/>
      <w:bookmarkStart w:id="91" w:name="_Toc68598979"/>
      <w:r>
        <w:t>Configuring Audit Storage Capacity &amp; Alerts</w:t>
      </w:r>
      <w:bookmarkEnd w:id="89"/>
      <w:bookmarkEnd w:id="90"/>
      <w:bookmarkEnd w:id="91"/>
    </w:p>
    <w:p w14:paraId="54A12BDB" w14:textId="76290E8E" w:rsidR="000D32BA" w:rsidRDefault="000D32BA" w:rsidP="000D32BA">
      <w:pPr>
        <w:pStyle w:val="BulletLevel1"/>
      </w:pPr>
      <w:r w:rsidRPr="000D32BA">
        <w:rPr>
          <w:highlight w:val="yellow"/>
        </w:rPr>
        <w:t>{Tool}</w:t>
      </w:r>
      <w:r>
        <w:t xml:space="preserve"> is configured with appropriate audit storage capacity. </w:t>
      </w:r>
      <w:r w:rsidRPr="000D32BA">
        <w:rPr>
          <w:highlight w:val="yellow"/>
        </w:rPr>
        <w:t>{Tool}</w:t>
      </w:r>
      <w:r>
        <w:t xml:space="preserve"> has a 365 day retention policy and automatically scales storage for the retention timeline requirement. </w:t>
      </w:r>
    </w:p>
    <w:p w14:paraId="461C5DF4" w14:textId="77777777" w:rsidR="000D32BA" w:rsidRDefault="000D32BA" w:rsidP="000D32BA">
      <w:pPr>
        <w:pStyle w:val="BulletLevel1"/>
      </w:pPr>
      <w:r>
        <w:t>If an audit log processing failure occurs, the following actions shall be taken:</w:t>
      </w:r>
    </w:p>
    <w:p w14:paraId="494D3AF9" w14:textId="2110BB9A" w:rsidR="000D32BA" w:rsidRDefault="000D32BA" w:rsidP="000D32BA">
      <w:pPr>
        <w:pStyle w:val="BulletLevel2"/>
        <w:numPr>
          <w:ilvl w:val="0"/>
          <w:numId w:val="30"/>
        </w:numPr>
        <w:ind w:left="720"/>
      </w:pPr>
      <w:r>
        <w:t xml:space="preserve">The {Roles/Teams}  are automatically alerted that failure has occurred via </w:t>
      </w:r>
      <w:r w:rsidRPr="006B3286">
        <w:rPr>
          <w:highlight w:val="yellow"/>
        </w:rPr>
        <w:t>{Alerting Medium}</w:t>
      </w:r>
      <w:r>
        <w:t xml:space="preserve"> on </w:t>
      </w:r>
      <w:r w:rsidR="006B3286" w:rsidRPr="000D32BA">
        <w:rPr>
          <w:highlight w:val="yellow"/>
        </w:rPr>
        <w:t>{Tool}</w:t>
      </w:r>
    </w:p>
    <w:p w14:paraId="32DC3A6D" w14:textId="77777777" w:rsidR="000D32BA" w:rsidRDefault="000D32BA" w:rsidP="000D32BA">
      <w:pPr>
        <w:pStyle w:val="BulletLevel2"/>
        <w:numPr>
          <w:ilvl w:val="0"/>
          <w:numId w:val="30"/>
        </w:numPr>
        <w:ind w:left="720"/>
      </w:pPr>
      <w:r>
        <w:t>The information system retains 365 days of auditing and the solution will automatically scale to meet the storage requirements</w:t>
      </w:r>
    </w:p>
    <w:p w14:paraId="45BA2484" w14:textId="77777777" w:rsidR="000D32BA" w:rsidRDefault="000D32BA" w:rsidP="000D32BA">
      <w:pPr>
        <w:pStyle w:val="Heading2"/>
        <w:rPr>
          <w:rFonts w:ascii="Graphik Regular" w:hAnsi="Graphik Regular"/>
          <w:color w:val="2B3339"/>
        </w:rPr>
      </w:pPr>
      <w:bookmarkStart w:id="92" w:name="_Toc36729329"/>
      <w:bookmarkStart w:id="93" w:name="_Toc62065346"/>
      <w:bookmarkStart w:id="94" w:name="_Toc68598980"/>
      <w:r>
        <w:t>Reviewing Audit Records</w:t>
      </w:r>
      <w:bookmarkEnd w:id="92"/>
      <w:bookmarkEnd w:id="93"/>
      <w:bookmarkEnd w:id="94"/>
    </w:p>
    <w:p w14:paraId="1117A948" w14:textId="5D8BC718" w:rsidR="000D32BA" w:rsidRDefault="000D32BA" w:rsidP="000D32BA">
      <w:pPr>
        <w:pStyle w:val="BulletLevel1"/>
      </w:pPr>
      <w:r>
        <w:lastRenderedPageBreak/>
        <w:t xml:space="preserve">The </w:t>
      </w:r>
      <w:r w:rsidR="006B3286" w:rsidRPr="006B3286">
        <w:rPr>
          <w:highlight w:val="yellow"/>
        </w:rPr>
        <w:t>{Role}</w:t>
      </w:r>
      <w:r>
        <w:t xml:space="preserve"> will review and analyze all audit information system audit records within </w:t>
      </w:r>
      <w:r w:rsidR="006B3286" w:rsidRPr="000D32BA">
        <w:rPr>
          <w:highlight w:val="yellow"/>
        </w:rPr>
        <w:t>{Tool}</w:t>
      </w:r>
      <w:r w:rsidR="006B3286">
        <w:t xml:space="preserve"> </w:t>
      </w:r>
      <w:r>
        <w:t xml:space="preserve">on a weekly basis. If unusual or inappropriate findings are detected, the findings shall be reported to the </w:t>
      </w:r>
      <w:r w:rsidR="006B3286" w:rsidRPr="006B3286">
        <w:rPr>
          <w:highlight w:val="yellow"/>
        </w:rPr>
        <w:t>{Role}</w:t>
      </w:r>
      <w:r>
        <w:t xml:space="preserve"> immediately. </w:t>
      </w:r>
    </w:p>
    <w:p w14:paraId="53C5F404" w14:textId="1403C994" w:rsidR="000D32BA" w:rsidRDefault="000D32BA" w:rsidP="000D32BA">
      <w:pPr>
        <w:pStyle w:val="BulletLevel1"/>
      </w:pPr>
      <w:r>
        <w:t xml:space="preserve">For internal security incidents, the </w:t>
      </w:r>
      <w:r w:rsidR="00D738FC">
        <w:fldChar w:fldCharType="begin"/>
      </w:r>
      <w:r w:rsidR="00D738FC">
        <w:instrText xml:space="preserve"> REF OrgName </w:instrText>
      </w:r>
      <w:r w:rsidR="00D738FC">
        <w:fldChar w:fldCharType="separate"/>
      </w:r>
      <w:r>
        <w:t>Organization Name</w:t>
      </w:r>
      <w:r w:rsidR="00D738FC">
        <w:fldChar w:fldCharType="end"/>
      </w:r>
      <w:r w:rsidRPr="00C92CC5">
        <w:t xml:space="preserve"> </w:t>
      </w:r>
      <w:r w:rsidR="006B3286" w:rsidRPr="006B3286">
        <w:rPr>
          <w:highlight w:val="yellow"/>
        </w:rPr>
        <w:t>{Role}</w:t>
      </w:r>
      <w:r>
        <w:t xml:space="preserve"> shall open </w:t>
      </w:r>
      <w:r w:rsidR="006B3286">
        <w:t xml:space="preserve">an </w:t>
      </w:r>
      <w:r>
        <w:t>incident record. Such findings should be documented and tracked using the procedure outlined in the Incident Response Plan.</w:t>
      </w:r>
    </w:p>
    <w:p w14:paraId="6C2F1484" w14:textId="3ECACE0F" w:rsidR="000D32BA" w:rsidRDefault="000D32BA" w:rsidP="000D32BA">
      <w:pPr>
        <w:pStyle w:val="BulletLevel1"/>
      </w:pPr>
      <w:r>
        <w:t xml:space="preserve">Additionally, the </w:t>
      </w:r>
      <w:r w:rsidR="006B3286" w:rsidRPr="006B3286">
        <w:rPr>
          <w:highlight w:val="yellow"/>
        </w:rPr>
        <w:t>{Role}</w:t>
      </w:r>
      <w:r>
        <w:t xml:space="preserve"> will adjust the level of audit review, analysis, and reporting within the information system if there is a change in risk to the environment. The </w:t>
      </w:r>
      <w:r w:rsidR="006B3286" w:rsidRPr="006B3286">
        <w:rPr>
          <w:highlight w:val="yellow"/>
        </w:rPr>
        <w:t>{Roles/Teams}</w:t>
      </w:r>
      <w:r>
        <w:t xml:space="preserve"> work together to meet the auditing requirements if an adjustment needs to be made.</w:t>
      </w:r>
    </w:p>
    <w:p w14:paraId="65330EB3" w14:textId="6F9A8F6E" w:rsidR="000D32BA" w:rsidRDefault="00D738FC" w:rsidP="000D32BA">
      <w:pPr>
        <w:pStyle w:val="BulletLevel1"/>
      </w:pPr>
      <w:r>
        <w:fldChar w:fldCharType="begin"/>
      </w:r>
      <w:r>
        <w:instrText xml:space="preserve"> REF OrgName </w:instrText>
      </w:r>
      <w:r>
        <w:fldChar w:fldCharType="separate"/>
      </w:r>
      <w:r w:rsidR="000D32BA">
        <w:t>Organization Name</w:t>
      </w:r>
      <w:r>
        <w:fldChar w:fldCharType="end"/>
      </w:r>
      <w:r w:rsidR="000D32BA" w:rsidRPr="00C92CC5">
        <w:t xml:space="preserve"> </w:t>
      </w:r>
      <w:r w:rsidR="000D32BA">
        <w:t xml:space="preserve">shall employ </w:t>
      </w:r>
      <w:r w:rsidR="006B3286" w:rsidRPr="000D32BA">
        <w:rPr>
          <w:highlight w:val="yellow"/>
        </w:rPr>
        <w:t>{Tool}</w:t>
      </w:r>
      <w:r w:rsidR="006B3286">
        <w:t xml:space="preserve"> </w:t>
      </w:r>
      <w:r w:rsidR="000D32BA">
        <w:t xml:space="preserve">and the </w:t>
      </w:r>
      <w:r w:rsidR="006B3286">
        <w:t>ticketing system</w:t>
      </w:r>
      <w:r w:rsidR="000D32BA">
        <w:t xml:space="preserve"> to integrate audit review, analysis, and reporting processes to support processes for investigation and response to suspicious activities. </w:t>
      </w:r>
    </w:p>
    <w:p w14:paraId="72C7E7E1" w14:textId="3B1DDDAA" w:rsidR="000D32BA" w:rsidRDefault="00D738FC" w:rsidP="000D32BA">
      <w:pPr>
        <w:pStyle w:val="BulletLevel1"/>
      </w:pPr>
      <w:r>
        <w:fldChar w:fldCharType="begin"/>
      </w:r>
      <w:r>
        <w:instrText xml:space="preserve"> REF OrgName </w:instrText>
      </w:r>
      <w:r>
        <w:fldChar w:fldCharType="separate"/>
      </w:r>
      <w:r w:rsidR="000D32BA">
        <w:t>Organization Name</w:t>
      </w:r>
      <w:r>
        <w:fldChar w:fldCharType="end"/>
      </w:r>
      <w:r w:rsidR="000D32BA" w:rsidRPr="00C92CC5">
        <w:t xml:space="preserve"> </w:t>
      </w:r>
      <w:r w:rsidR="000D32BA">
        <w:t xml:space="preserve">will leverage </w:t>
      </w:r>
      <w:r w:rsidR="006B3286" w:rsidRPr="000D32BA">
        <w:rPr>
          <w:highlight w:val="yellow"/>
        </w:rPr>
        <w:t>{Tool}</w:t>
      </w:r>
      <w:r w:rsidR="000D32BA">
        <w:t xml:space="preserve"> to gain information wide situational awareness through the analysis and correlation of audit records. </w:t>
      </w:r>
      <w:bookmarkStart w:id="95" w:name="_Toc400122715"/>
      <w:bookmarkStart w:id="96" w:name="_Toc374628699"/>
    </w:p>
    <w:p w14:paraId="7A17906E" w14:textId="77777777" w:rsidR="000D32BA" w:rsidRDefault="000D32BA" w:rsidP="000D32BA">
      <w:pPr>
        <w:pStyle w:val="Heading2"/>
      </w:pPr>
      <w:bookmarkStart w:id="97" w:name="_Toc36729330"/>
      <w:bookmarkStart w:id="98" w:name="_Toc62065347"/>
      <w:bookmarkStart w:id="99" w:name="_Toc68598981"/>
      <w:bookmarkEnd w:id="95"/>
      <w:bookmarkEnd w:id="96"/>
      <w:r>
        <w:t>Information System Configuration</w:t>
      </w:r>
      <w:bookmarkEnd w:id="97"/>
      <w:bookmarkEnd w:id="98"/>
      <w:bookmarkEnd w:id="99"/>
    </w:p>
    <w:p w14:paraId="750CC92A" w14:textId="77777777" w:rsidR="000D32BA" w:rsidRDefault="000D32BA" w:rsidP="000D32BA">
      <w:pPr>
        <w:pStyle w:val="Heading3"/>
      </w:pPr>
      <w:bookmarkStart w:id="100" w:name="_Toc36729331"/>
      <w:bookmarkStart w:id="101" w:name="_Toc62065348"/>
      <w:bookmarkStart w:id="102" w:name="_Toc68598982"/>
      <w:r>
        <w:t>Initial Date/Time Configuration</w:t>
      </w:r>
      <w:bookmarkEnd w:id="100"/>
      <w:bookmarkEnd w:id="101"/>
      <w:bookmarkEnd w:id="102"/>
    </w:p>
    <w:p w14:paraId="068E3E2E" w14:textId="6A0F8E6D" w:rsidR="000D32BA" w:rsidRDefault="006B3286" w:rsidP="000D32BA">
      <w:pPr>
        <w:pStyle w:val="BulletLevel1"/>
      </w:pPr>
      <w:r w:rsidRPr="000D32BA">
        <w:rPr>
          <w:highlight w:val="yellow"/>
        </w:rPr>
        <w:t>{Tool}</w:t>
      </w:r>
      <w:r>
        <w:t xml:space="preserve"> </w:t>
      </w:r>
      <w:r w:rsidR="000D32BA">
        <w:t>is configured with appropriate time stamps using the following steps:</w:t>
      </w:r>
    </w:p>
    <w:p w14:paraId="19F4302C" w14:textId="2536C772" w:rsidR="000D32BA" w:rsidRDefault="006B3286" w:rsidP="000D32BA">
      <w:pPr>
        <w:pStyle w:val="BulletLevel1"/>
        <w:numPr>
          <w:ilvl w:val="0"/>
          <w:numId w:val="31"/>
        </w:numPr>
      </w:pPr>
      <w:r w:rsidRPr="000D32BA">
        <w:rPr>
          <w:highlight w:val="yellow"/>
        </w:rPr>
        <w:t>{Tool}</w:t>
      </w:r>
      <w:r w:rsidR="000D32BA">
        <w:t xml:space="preserve"> in the environment receive their time from the NIST authoritative time source.</w:t>
      </w:r>
    </w:p>
    <w:p w14:paraId="47E8CA12" w14:textId="299A0599" w:rsidR="000D32BA" w:rsidRDefault="000D32BA" w:rsidP="000D32BA">
      <w:pPr>
        <w:pStyle w:val="BulletLevel1"/>
        <w:numPr>
          <w:ilvl w:val="0"/>
          <w:numId w:val="31"/>
        </w:numPr>
      </w:pPr>
      <w:r>
        <w:t>All Servers in the environment sync their system clocks with the domain controller</w:t>
      </w:r>
      <w:r w:rsidR="006B3286">
        <w:t>.</w:t>
      </w:r>
    </w:p>
    <w:p w14:paraId="3F05E0FD" w14:textId="5E2AC37A" w:rsidR="000D32BA" w:rsidRDefault="006B3286" w:rsidP="000D32BA">
      <w:pPr>
        <w:pStyle w:val="BulletLevel1"/>
        <w:numPr>
          <w:ilvl w:val="0"/>
          <w:numId w:val="31"/>
        </w:numPr>
      </w:pPr>
      <w:r w:rsidRPr="000D32BA">
        <w:rPr>
          <w:highlight w:val="yellow"/>
        </w:rPr>
        <w:t>{Tool}</w:t>
      </w:r>
      <w:r>
        <w:t xml:space="preserve"> </w:t>
      </w:r>
      <w:r w:rsidR="000D32BA">
        <w:t>receive their time from the client systems forwarding events.</w:t>
      </w:r>
    </w:p>
    <w:p w14:paraId="5F952000" w14:textId="77777777" w:rsidR="000D32BA" w:rsidRDefault="000D32BA" w:rsidP="000D32BA">
      <w:pPr>
        <w:pStyle w:val="Heading3"/>
        <w:rPr>
          <w:rFonts w:ascii="Graphik Regular" w:hAnsi="Graphik Regular"/>
          <w:color w:val="2B3339"/>
          <w:sz w:val="20"/>
          <w:szCs w:val="22"/>
        </w:rPr>
      </w:pPr>
      <w:bookmarkStart w:id="103" w:name="_Toc36729332"/>
      <w:bookmarkStart w:id="104" w:name="_Toc62065349"/>
      <w:bookmarkStart w:id="105" w:name="_Toc68598983"/>
      <w:r w:rsidRPr="000D32BA">
        <w:t>Synchronizing</w:t>
      </w:r>
      <w:r>
        <w:t xml:space="preserve"> Date/Time Information</w:t>
      </w:r>
      <w:bookmarkEnd w:id="103"/>
      <w:bookmarkEnd w:id="104"/>
      <w:bookmarkEnd w:id="105"/>
    </w:p>
    <w:p w14:paraId="76F994E3" w14:textId="77777777" w:rsidR="000D32BA" w:rsidRDefault="000D32BA" w:rsidP="000D32BA">
      <w:pPr>
        <w:pStyle w:val="BulletLevel1"/>
      </w:pPr>
      <w:r>
        <w:t>For time synchronization, configure the information system and system components to synchronize with the NIST time server every 6-10 minutes or when skew is greater than three (3) minutes.</w:t>
      </w:r>
    </w:p>
    <w:p w14:paraId="5FD1B017" w14:textId="77777777" w:rsidR="000D32BA" w:rsidRDefault="000D32BA" w:rsidP="000D32BA">
      <w:pPr>
        <w:pStyle w:val="BulletLevel1"/>
      </w:pPr>
      <w:r>
        <w:t>As a rule, the information system uses the NIST authoritative time source as the primary time server. NIST time servers are load balanced and geographic redundancy is built into the NIST time service.</w:t>
      </w:r>
    </w:p>
    <w:p w14:paraId="0A5D444A" w14:textId="77777777" w:rsidR="000D32BA" w:rsidRDefault="000D32BA" w:rsidP="000D32BA">
      <w:pPr>
        <w:pStyle w:val="Heading2"/>
        <w:rPr>
          <w:rFonts w:ascii="Graphik Regular" w:hAnsi="Graphik Regular"/>
          <w:color w:val="2B3339"/>
        </w:rPr>
      </w:pPr>
      <w:bookmarkStart w:id="106" w:name="_Toc36729333"/>
      <w:bookmarkStart w:id="107" w:name="_Toc62065350"/>
      <w:bookmarkStart w:id="108" w:name="_Toc68598984"/>
      <w:r>
        <w:t xml:space="preserve">Protecting </w:t>
      </w:r>
      <w:r w:rsidRPr="000D32BA">
        <w:t>Audit</w:t>
      </w:r>
      <w:r>
        <w:t xml:space="preserve"> Logs and Audit Log Retention</w:t>
      </w:r>
      <w:bookmarkEnd w:id="106"/>
      <w:bookmarkEnd w:id="107"/>
      <w:bookmarkEnd w:id="108"/>
    </w:p>
    <w:p w14:paraId="37118DDF" w14:textId="77777777" w:rsidR="000D32BA" w:rsidRDefault="000D32BA" w:rsidP="000D32BA">
      <w:pPr>
        <w:pStyle w:val="Heading3"/>
        <w:rPr>
          <w:color w:val="4D9FE8"/>
        </w:rPr>
      </w:pPr>
      <w:bookmarkStart w:id="109" w:name="_Toc36729334"/>
      <w:bookmarkStart w:id="110" w:name="_Toc62065351"/>
      <w:bookmarkStart w:id="111" w:name="_Toc68598985"/>
      <w:r>
        <w:t>Audit Log Protection</w:t>
      </w:r>
      <w:bookmarkEnd w:id="109"/>
      <w:bookmarkEnd w:id="110"/>
      <w:bookmarkEnd w:id="111"/>
    </w:p>
    <w:p w14:paraId="377C6653" w14:textId="4EDA401E" w:rsidR="000D32BA" w:rsidRDefault="000D32BA" w:rsidP="000D32BA">
      <w:pPr>
        <w:spacing w:line="276" w:lineRule="auto"/>
        <w:rPr>
          <w:rFonts w:cstheme="minorHAnsi"/>
          <w:color w:val="000000" w:themeColor="text1"/>
          <w:szCs w:val="22"/>
        </w:rPr>
      </w:pPr>
      <w:r>
        <w:rPr>
          <w:rFonts w:cstheme="minorHAnsi"/>
          <w:color w:val="000000" w:themeColor="text1"/>
          <w:szCs w:val="22"/>
        </w:rPr>
        <w:t xml:space="preserve">Audit logs stored within </w:t>
      </w:r>
      <w:r w:rsidR="006B3286" w:rsidRPr="000D32BA">
        <w:rPr>
          <w:highlight w:val="yellow"/>
        </w:rPr>
        <w:t>{Tool}</w:t>
      </w:r>
      <w:r w:rsidR="006B3286">
        <w:t xml:space="preserve"> </w:t>
      </w:r>
      <w:r>
        <w:rPr>
          <w:rFonts w:cstheme="minorHAnsi"/>
          <w:color w:val="000000" w:themeColor="text1"/>
          <w:szCs w:val="22"/>
        </w:rPr>
        <w:t xml:space="preserve">will be replicated from the primary site </w:t>
      </w:r>
      <w:r w:rsidR="006B3286" w:rsidRPr="006B3286">
        <w:rPr>
          <w:rFonts w:cstheme="minorHAnsi"/>
          <w:color w:val="000000" w:themeColor="text1"/>
          <w:szCs w:val="22"/>
          <w:highlight w:val="yellow"/>
        </w:rPr>
        <w:t>{Primary Data Center}</w:t>
      </w:r>
      <w:r>
        <w:rPr>
          <w:rFonts w:cstheme="minorHAnsi"/>
          <w:color w:val="000000" w:themeColor="text1"/>
          <w:szCs w:val="22"/>
        </w:rPr>
        <w:t xml:space="preserve"> to the alternate site </w:t>
      </w:r>
      <w:r w:rsidR="006B3286" w:rsidRPr="006B3286">
        <w:rPr>
          <w:rFonts w:cstheme="minorHAnsi"/>
          <w:color w:val="000000" w:themeColor="text1"/>
          <w:szCs w:val="22"/>
          <w:highlight w:val="yellow"/>
        </w:rPr>
        <w:t>{Secondary Data Center}.</w:t>
      </w:r>
      <w:r w:rsidR="006B3286">
        <w:rPr>
          <w:rFonts w:cstheme="minorHAnsi"/>
          <w:color w:val="000000" w:themeColor="text1"/>
          <w:szCs w:val="22"/>
        </w:rPr>
        <w:t xml:space="preserve">  </w:t>
      </w:r>
      <w:r>
        <w:rPr>
          <w:rFonts w:cstheme="minorHAnsi"/>
          <w:color w:val="000000" w:themeColor="text1"/>
          <w:szCs w:val="22"/>
        </w:rPr>
        <w:t xml:space="preserve">Audit logs and tools will be protected from any unauthorized access, modification, or deletion through role-based access control (RBAC). Only approved and authorized users are to be permitted access to the audit logs within </w:t>
      </w:r>
      <w:r w:rsidR="006B3286" w:rsidRPr="000D32BA">
        <w:rPr>
          <w:highlight w:val="yellow"/>
        </w:rPr>
        <w:t>{Tool}</w:t>
      </w:r>
      <w:r>
        <w:rPr>
          <w:rFonts w:cstheme="minorHAnsi"/>
          <w:color w:val="000000" w:themeColor="text1"/>
          <w:szCs w:val="22"/>
        </w:rPr>
        <w:t xml:space="preserve">. The current list of administrators includes </w:t>
      </w:r>
      <w:r w:rsidR="006B3286" w:rsidRPr="006B3286">
        <w:rPr>
          <w:rFonts w:cstheme="minorHAnsi"/>
          <w:color w:val="000000" w:themeColor="text1"/>
          <w:szCs w:val="22"/>
          <w:highlight w:val="yellow"/>
        </w:rPr>
        <w:t>{Role/Team}</w:t>
      </w:r>
      <w:r w:rsidRPr="006B3286">
        <w:rPr>
          <w:rFonts w:cstheme="minorHAnsi"/>
          <w:color w:val="000000" w:themeColor="text1"/>
          <w:szCs w:val="22"/>
          <w:highlight w:val="yellow"/>
        </w:rPr>
        <w:t>.</w:t>
      </w:r>
      <w:r>
        <w:rPr>
          <w:rFonts w:cstheme="minorHAnsi"/>
          <w:color w:val="000000" w:themeColor="text1"/>
          <w:szCs w:val="22"/>
        </w:rPr>
        <w:t xml:space="preserve"> To add a new administrator or user to the audit logging solution(s), the following steps are to be taken:</w:t>
      </w:r>
    </w:p>
    <w:p w14:paraId="3A6E4E7A" w14:textId="7158F4CA" w:rsidR="000D32BA" w:rsidRDefault="000D32BA" w:rsidP="000D32BA">
      <w:pPr>
        <w:pStyle w:val="BulletLevel2"/>
        <w:numPr>
          <w:ilvl w:val="0"/>
          <w:numId w:val="30"/>
        </w:numPr>
        <w:ind w:left="720"/>
      </w:pPr>
      <w:r>
        <w:t xml:space="preserve">Validate that a document request has been generated through the </w:t>
      </w:r>
      <w:r w:rsidR="006B3286" w:rsidRPr="006B3286">
        <w:rPr>
          <w:highlight w:val="yellow"/>
        </w:rPr>
        <w:t>{Ticketing Solution}</w:t>
      </w:r>
      <w:r>
        <w:t xml:space="preserve">. </w:t>
      </w:r>
    </w:p>
    <w:p w14:paraId="34C56D5F" w14:textId="77777777" w:rsidR="000D32BA" w:rsidRDefault="000D32BA" w:rsidP="000D32BA">
      <w:pPr>
        <w:pStyle w:val="BulletLevel2"/>
        <w:numPr>
          <w:ilvl w:val="0"/>
          <w:numId w:val="30"/>
        </w:numPr>
        <w:ind w:left="720"/>
      </w:pPr>
      <w:r>
        <w:t>Set the appropriate privileges within the audit logging solution.</w:t>
      </w:r>
    </w:p>
    <w:p w14:paraId="1501A131" w14:textId="77777777" w:rsidR="000D32BA" w:rsidRDefault="000D32BA" w:rsidP="000D32BA">
      <w:r>
        <w:t>As part of the quarterly access review process, validate that the list of admins and users is current and only necessary privileges are applied.</w:t>
      </w:r>
    </w:p>
    <w:p w14:paraId="7A9199CE" w14:textId="77777777" w:rsidR="000D32BA" w:rsidRDefault="000D32BA" w:rsidP="000D32BA">
      <w:pPr>
        <w:pStyle w:val="Heading3"/>
        <w:rPr>
          <w:rFonts w:ascii="Graphik Regular" w:hAnsi="Graphik Regular"/>
          <w:color w:val="2B3339"/>
          <w:sz w:val="20"/>
          <w:szCs w:val="22"/>
        </w:rPr>
      </w:pPr>
      <w:bookmarkStart w:id="112" w:name="_Toc36729335"/>
      <w:bookmarkStart w:id="113" w:name="_Toc62065352"/>
      <w:bookmarkStart w:id="114" w:name="_Toc68598986"/>
      <w:r>
        <w:lastRenderedPageBreak/>
        <w:t>Audit Log Retention</w:t>
      </w:r>
      <w:bookmarkEnd w:id="112"/>
      <w:bookmarkEnd w:id="113"/>
      <w:bookmarkEnd w:id="114"/>
    </w:p>
    <w:p w14:paraId="0E28FCEE" w14:textId="1A9F0296" w:rsidR="0056515D" w:rsidRDefault="006B3286" w:rsidP="000D32BA">
      <w:pPr>
        <w:pStyle w:val="BulletLevel1"/>
      </w:pPr>
      <w:r w:rsidRPr="000D32BA">
        <w:rPr>
          <w:highlight w:val="yellow"/>
        </w:rPr>
        <w:t>{Tool}</w:t>
      </w:r>
      <w:r>
        <w:t xml:space="preserve"> </w:t>
      </w:r>
      <w:r w:rsidR="000D32BA">
        <w:t>is configured to store audit logs</w:t>
      </w:r>
      <w:r>
        <w:t xml:space="preserve"> for ninety (90) days online</w:t>
      </w:r>
      <w:r w:rsidR="000D32BA">
        <w:t xml:space="preserve"> for</w:t>
      </w:r>
      <w:r>
        <w:t xml:space="preserve"> immediate review and analysis and </w:t>
      </w:r>
      <w:r w:rsidR="000D32BA">
        <w:t>three hundred and sixty five (365) days o</w:t>
      </w:r>
      <w:r>
        <w:t>ffline/storage.</w:t>
      </w: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0C85" w14:textId="77777777" w:rsidR="0084713C" w:rsidRDefault="0084713C" w:rsidP="002317F3">
      <w:r>
        <w:separator/>
      </w:r>
    </w:p>
  </w:endnote>
  <w:endnote w:type="continuationSeparator" w:id="0">
    <w:p w14:paraId="7063034C" w14:textId="77777777" w:rsidR="0084713C" w:rsidRDefault="0084713C" w:rsidP="002317F3">
      <w:r>
        <w:continuationSeparator/>
      </w:r>
    </w:p>
  </w:endnote>
  <w:endnote w:type="continuationNotice" w:id="1">
    <w:p w14:paraId="214A61CE" w14:textId="77777777" w:rsidR="0084713C" w:rsidRDefault="00847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raphik Regular">
    <w:altName w:val="Calibri"/>
    <w:panose1 w:val="00000000000000000000"/>
    <w:charset w:val="00"/>
    <w:family w:val="swiss"/>
    <w:notTrueType/>
    <w:pitch w:val="variable"/>
    <w:sig w:usb0="A000002F" w:usb1="400004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2C16AA" w:rsidRPr="00E25CA3" w:rsidRDefault="002C16AA"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2C16AA" w:rsidRDefault="002C16AA" w:rsidP="006F2385">
    <w:pPr>
      <w:pStyle w:val="Footer"/>
      <w:pBdr>
        <w:bottom w:val="single" w:sz="6" w:space="1" w:color="808080"/>
      </w:pBdr>
    </w:pPr>
  </w:p>
  <w:p w14:paraId="08122DB8" w14:textId="15E112FD" w:rsidR="002C16AA" w:rsidRPr="00DF15C3" w:rsidRDefault="002C16AA" w:rsidP="006F2385">
    <w:pPr>
      <w:pStyle w:val="Footer"/>
    </w:pPr>
    <w:r w:rsidRPr="00DF15C3">
      <w:t xml:space="preserve">Version </w:t>
    </w:r>
    <w:r>
      <w:t>1.0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27AD" w14:textId="77777777" w:rsidR="0084713C" w:rsidRDefault="0084713C" w:rsidP="002317F3">
      <w:r>
        <w:separator/>
      </w:r>
    </w:p>
  </w:footnote>
  <w:footnote w:type="continuationSeparator" w:id="0">
    <w:p w14:paraId="6D0A14B5" w14:textId="77777777" w:rsidR="0084713C" w:rsidRDefault="0084713C" w:rsidP="002317F3">
      <w:r>
        <w:continuationSeparator/>
      </w:r>
    </w:p>
  </w:footnote>
  <w:footnote w:type="continuationNotice" w:id="1">
    <w:p w14:paraId="625AF5CF" w14:textId="77777777" w:rsidR="0084713C" w:rsidRDefault="00847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2C16AA" w:rsidRPr="00680892" w:rsidRDefault="002C16AA"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DCA2BE84"/>
    <w:lvl w:ilvl="0" w:tplc="642C5EFE">
      <w:start w:val="1"/>
      <w:numFmt w:val="decimal"/>
      <w:pStyle w:val="Heading1"/>
      <w:lvlText w:val="%1"/>
      <w:lvlJc w:val="left"/>
      <w:pPr>
        <w:ind w:left="432" w:hanging="432"/>
      </w:pPr>
      <w:rPr>
        <w:rFonts w:hint="default"/>
        <w:color w:val="auto"/>
      </w:rPr>
    </w:lvl>
    <w:lvl w:ilvl="1" w:tplc="79AC20E2">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8F0C30A">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66407CFC"/>
    <w:multiLevelType w:val="hybridMultilevel"/>
    <w:tmpl w:val="4ED46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6"/>
    <w:lvlOverride w:ilvl="0">
      <w:startOverride w:val="1"/>
    </w:lvlOverride>
  </w:num>
  <w:num w:numId="28">
    <w:abstractNumId w:val="19"/>
  </w:num>
  <w:num w:numId="29">
    <w:abstractNumId w:val="26"/>
    <w:lvlOverride w:ilvl="0">
      <w:startOverride w:val="1"/>
    </w:lvlOverride>
    <w:lvlOverride w:ilvl="1"/>
    <w:lvlOverride w:ilvl="2"/>
    <w:lvlOverride w:ilvl="3"/>
    <w:lvlOverride w:ilvl="4"/>
    <w:lvlOverride w:ilvl="5"/>
    <w:lvlOverride w:ilvl="6"/>
    <w:lvlOverride w:ilvl="7"/>
    <w:lvlOverride w:ilvl="8"/>
  </w:num>
  <w:num w:numId="30">
    <w:abstractNumId w:val="2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375C"/>
    <w:rsid w:val="0002488E"/>
    <w:rsid w:val="00025F3E"/>
    <w:rsid w:val="00032EE2"/>
    <w:rsid w:val="00046C22"/>
    <w:rsid w:val="00054F3D"/>
    <w:rsid w:val="00086DE3"/>
    <w:rsid w:val="00087C7E"/>
    <w:rsid w:val="000A2CE2"/>
    <w:rsid w:val="000B392F"/>
    <w:rsid w:val="000D32BA"/>
    <w:rsid w:val="000E366E"/>
    <w:rsid w:val="000E453D"/>
    <w:rsid w:val="000E5EB2"/>
    <w:rsid w:val="000E6CD5"/>
    <w:rsid w:val="00102C1A"/>
    <w:rsid w:val="001106B6"/>
    <w:rsid w:val="001204BF"/>
    <w:rsid w:val="00124D3F"/>
    <w:rsid w:val="00126D21"/>
    <w:rsid w:val="00153483"/>
    <w:rsid w:val="00173046"/>
    <w:rsid w:val="00174212"/>
    <w:rsid w:val="00191959"/>
    <w:rsid w:val="0019222D"/>
    <w:rsid w:val="001C09EE"/>
    <w:rsid w:val="001D5FC8"/>
    <w:rsid w:val="001E27AE"/>
    <w:rsid w:val="001F510C"/>
    <w:rsid w:val="001F5F64"/>
    <w:rsid w:val="00201586"/>
    <w:rsid w:val="00217E68"/>
    <w:rsid w:val="00230700"/>
    <w:rsid w:val="00230F52"/>
    <w:rsid w:val="002317F3"/>
    <w:rsid w:val="00246F96"/>
    <w:rsid w:val="002842A7"/>
    <w:rsid w:val="00292338"/>
    <w:rsid w:val="00293935"/>
    <w:rsid w:val="00295D88"/>
    <w:rsid w:val="002A44B1"/>
    <w:rsid w:val="002B4D88"/>
    <w:rsid w:val="002C16AA"/>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B5610"/>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422C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B3286"/>
    <w:rsid w:val="006D4A36"/>
    <w:rsid w:val="006D6359"/>
    <w:rsid w:val="006E6829"/>
    <w:rsid w:val="006E7F54"/>
    <w:rsid w:val="006F2385"/>
    <w:rsid w:val="006F295A"/>
    <w:rsid w:val="00703B39"/>
    <w:rsid w:val="00707F81"/>
    <w:rsid w:val="0072176E"/>
    <w:rsid w:val="00732869"/>
    <w:rsid w:val="00735F82"/>
    <w:rsid w:val="00751E23"/>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4713C"/>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1A0B"/>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22BEE"/>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675F"/>
    <w:rsid w:val="00D738FC"/>
    <w:rsid w:val="00D83DBB"/>
    <w:rsid w:val="00D966AA"/>
    <w:rsid w:val="00DB5E58"/>
    <w:rsid w:val="00DC48BF"/>
    <w:rsid w:val="00DD3090"/>
    <w:rsid w:val="00E0100B"/>
    <w:rsid w:val="00E0250F"/>
    <w:rsid w:val="00E205D6"/>
    <w:rsid w:val="00E65158"/>
    <w:rsid w:val="00E66C2D"/>
    <w:rsid w:val="00E93C29"/>
    <w:rsid w:val="00E959C7"/>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819E0"/>
    <w:rsid w:val="00FB0023"/>
    <w:rsid w:val="00FC5420"/>
    <w:rsid w:val="00FD1B54"/>
    <w:rsid w:val="00FD2D25"/>
    <w:rsid w:val="00FD52CE"/>
    <w:rsid w:val="00FE2BEB"/>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5312D419-400C-4453-B12A-49D2EF12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UnresolvedMention">
    <w:name w:val="Unresolved Mention"/>
    <w:basedOn w:val="DefaultParagraphFont"/>
    <w:uiPriority w:val="99"/>
    <w:semiHidden/>
    <w:unhideWhenUsed/>
    <w:rsid w:val="003B5610"/>
    <w:rPr>
      <w:color w:val="605E5C"/>
      <w:shd w:val="clear" w:color="auto" w:fill="E1DFDD"/>
    </w:rPr>
  </w:style>
  <w:style w:type="paragraph" w:customStyle="1" w:styleId="paragraph">
    <w:name w:val="paragraph"/>
    <w:basedOn w:val="Normal"/>
    <w:rsid w:val="003B5610"/>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3B5610"/>
  </w:style>
  <w:style w:type="character" w:customStyle="1" w:styleId="eop">
    <w:name w:val="eop"/>
    <w:basedOn w:val="DefaultParagraphFont"/>
    <w:rsid w:val="003B5610"/>
  </w:style>
  <w:style w:type="paragraph" w:styleId="TOC3">
    <w:name w:val="toc 3"/>
    <w:basedOn w:val="Normal"/>
    <w:next w:val="Normal"/>
    <w:autoRedefine/>
    <w:uiPriority w:val="39"/>
    <w:unhideWhenUsed/>
    <w:rsid w:val="000D32B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1445">
      <w:bodyDiv w:val="1"/>
      <w:marLeft w:val="0"/>
      <w:marRight w:val="0"/>
      <w:marTop w:val="0"/>
      <w:marBottom w:val="0"/>
      <w:divBdr>
        <w:top w:val="none" w:sz="0" w:space="0" w:color="auto"/>
        <w:left w:val="none" w:sz="0" w:space="0" w:color="auto"/>
        <w:bottom w:val="none" w:sz="0" w:space="0" w:color="auto"/>
        <w:right w:val="none" w:sz="0" w:space="0" w:color="auto"/>
      </w:divBdr>
    </w:div>
    <w:div w:id="36787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Props1.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2.xml><?xml version="1.0" encoding="utf-8"?>
<ds:datastoreItem xmlns:ds="http://schemas.openxmlformats.org/officeDocument/2006/customXml" ds:itemID="{6D8B86F1-1988-420C-A0C9-C74FC08CC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4.xml><?xml version="1.0" encoding="utf-8"?>
<ds:datastoreItem xmlns:ds="http://schemas.openxmlformats.org/officeDocument/2006/customXml" ds:itemID="{3C22427A-28BA-4239-889F-1BB3CBCF04B2}">
  <ds:schemaRefs>
    <ds:schemaRef ds:uri="http://www.w3.org/XML/1998/namespace"/>
    <ds:schemaRef ds:uri="040871e7-0fbb-4834-bc68-3ff0cf3ad658"/>
    <ds:schemaRef ds:uri="http://schemas.microsoft.com/office/2006/metadata/properties"/>
    <ds:schemaRef ds:uri="http://schemas.microsoft.com/office/2006/documentManagement/types"/>
    <ds:schemaRef ds:uri="http://purl.org/dc/elements/1.1/"/>
    <ds:schemaRef ds:uri="cf0f3822-ced3-4bda-81bd-3cb06028b070"/>
    <ds:schemaRef ds:uri="http://purl.org/dc/term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Links>
    <vt:vector size="114" baseType="variant">
      <vt:variant>
        <vt:i4>1638451</vt:i4>
      </vt:variant>
      <vt:variant>
        <vt:i4>113</vt:i4>
      </vt:variant>
      <vt:variant>
        <vt:i4>0</vt:i4>
      </vt:variant>
      <vt:variant>
        <vt:i4>5</vt:i4>
      </vt:variant>
      <vt:variant>
        <vt:lpwstr/>
      </vt:variant>
      <vt:variant>
        <vt:lpwstr>_Toc68598986</vt:lpwstr>
      </vt:variant>
      <vt:variant>
        <vt:i4>1703987</vt:i4>
      </vt:variant>
      <vt:variant>
        <vt:i4>107</vt:i4>
      </vt:variant>
      <vt:variant>
        <vt:i4>0</vt:i4>
      </vt:variant>
      <vt:variant>
        <vt:i4>5</vt:i4>
      </vt:variant>
      <vt:variant>
        <vt:lpwstr/>
      </vt:variant>
      <vt:variant>
        <vt:lpwstr>_Toc68598985</vt:lpwstr>
      </vt:variant>
      <vt:variant>
        <vt:i4>1769523</vt:i4>
      </vt:variant>
      <vt:variant>
        <vt:i4>101</vt:i4>
      </vt:variant>
      <vt:variant>
        <vt:i4>0</vt:i4>
      </vt:variant>
      <vt:variant>
        <vt:i4>5</vt:i4>
      </vt:variant>
      <vt:variant>
        <vt:lpwstr/>
      </vt:variant>
      <vt:variant>
        <vt:lpwstr>_Toc68598984</vt:lpwstr>
      </vt:variant>
      <vt:variant>
        <vt:i4>1835059</vt:i4>
      </vt:variant>
      <vt:variant>
        <vt:i4>95</vt:i4>
      </vt:variant>
      <vt:variant>
        <vt:i4>0</vt:i4>
      </vt:variant>
      <vt:variant>
        <vt:i4>5</vt:i4>
      </vt:variant>
      <vt:variant>
        <vt:lpwstr/>
      </vt:variant>
      <vt:variant>
        <vt:lpwstr>_Toc68598983</vt:lpwstr>
      </vt:variant>
      <vt:variant>
        <vt:i4>1900595</vt:i4>
      </vt:variant>
      <vt:variant>
        <vt:i4>89</vt:i4>
      </vt:variant>
      <vt:variant>
        <vt:i4>0</vt:i4>
      </vt:variant>
      <vt:variant>
        <vt:i4>5</vt:i4>
      </vt:variant>
      <vt:variant>
        <vt:lpwstr/>
      </vt:variant>
      <vt:variant>
        <vt:lpwstr>_Toc68598982</vt:lpwstr>
      </vt:variant>
      <vt:variant>
        <vt:i4>1966131</vt:i4>
      </vt:variant>
      <vt:variant>
        <vt:i4>83</vt:i4>
      </vt:variant>
      <vt:variant>
        <vt:i4>0</vt:i4>
      </vt:variant>
      <vt:variant>
        <vt:i4>5</vt:i4>
      </vt:variant>
      <vt:variant>
        <vt:lpwstr/>
      </vt:variant>
      <vt:variant>
        <vt:lpwstr>_Toc68598981</vt:lpwstr>
      </vt:variant>
      <vt:variant>
        <vt:i4>2031667</vt:i4>
      </vt:variant>
      <vt:variant>
        <vt:i4>77</vt:i4>
      </vt:variant>
      <vt:variant>
        <vt:i4>0</vt:i4>
      </vt:variant>
      <vt:variant>
        <vt:i4>5</vt:i4>
      </vt:variant>
      <vt:variant>
        <vt:lpwstr/>
      </vt:variant>
      <vt:variant>
        <vt:lpwstr>_Toc68598980</vt:lpwstr>
      </vt:variant>
      <vt:variant>
        <vt:i4>1441852</vt:i4>
      </vt:variant>
      <vt:variant>
        <vt:i4>71</vt:i4>
      </vt:variant>
      <vt:variant>
        <vt:i4>0</vt:i4>
      </vt:variant>
      <vt:variant>
        <vt:i4>5</vt:i4>
      </vt:variant>
      <vt:variant>
        <vt:lpwstr/>
      </vt:variant>
      <vt:variant>
        <vt:lpwstr>_Toc68598979</vt:lpwstr>
      </vt:variant>
      <vt:variant>
        <vt:i4>1507388</vt:i4>
      </vt:variant>
      <vt:variant>
        <vt:i4>65</vt:i4>
      </vt:variant>
      <vt:variant>
        <vt:i4>0</vt:i4>
      </vt:variant>
      <vt:variant>
        <vt:i4>5</vt:i4>
      </vt:variant>
      <vt:variant>
        <vt:lpwstr/>
      </vt:variant>
      <vt:variant>
        <vt:lpwstr>_Toc68598978</vt:lpwstr>
      </vt:variant>
      <vt:variant>
        <vt:i4>1572924</vt:i4>
      </vt:variant>
      <vt:variant>
        <vt:i4>59</vt:i4>
      </vt:variant>
      <vt:variant>
        <vt:i4>0</vt:i4>
      </vt:variant>
      <vt:variant>
        <vt:i4>5</vt:i4>
      </vt:variant>
      <vt:variant>
        <vt:lpwstr/>
      </vt:variant>
      <vt:variant>
        <vt:lpwstr>_Toc68598977</vt:lpwstr>
      </vt:variant>
      <vt:variant>
        <vt:i4>1638460</vt:i4>
      </vt:variant>
      <vt:variant>
        <vt:i4>53</vt:i4>
      </vt:variant>
      <vt:variant>
        <vt:i4>0</vt:i4>
      </vt:variant>
      <vt:variant>
        <vt:i4>5</vt:i4>
      </vt:variant>
      <vt:variant>
        <vt:lpwstr/>
      </vt:variant>
      <vt:variant>
        <vt:lpwstr>_Toc68598976</vt:lpwstr>
      </vt:variant>
      <vt:variant>
        <vt:i4>1703996</vt:i4>
      </vt:variant>
      <vt:variant>
        <vt:i4>47</vt:i4>
      </vt:variant>
      <vt:variant>
        <vt:i4>0</vt:i4>
      </vt:variant>
      <vt:variant>
        <vt:i4>5</vt:i4>
      </vt:variant>
      <vt:variant>
        <vt:lpwstr/>
      </vt:variant>
      <vt:variant>
        <vt:lpwstr>_Toc68598975</vt:lpwstr>
      </vt:variant>
      <vt:variant>
        <vt:i4>1769532</vt:i4>
      </vt:variant>
      <vt:variant>
        <vt:i4>41</vt:i4>
      </vt:variant>
      <vt:variant>
        <vt:i4>0</vt:i4>
      </vt:variant>
      <vt:variant>
        <vt:i4>5</vt:i4>
      </vt:variant>
      <vt:variant>
        <vt:lpwstr/>
      </vt:variant>
      <vt:variant>
        <vt:lpwstr>_Toc68598974</vt:lpwstr>
      </vt:variant>
      <vt:variant>
        <vt:i4>1835068</vt:i4>
      </vt:variant>
      <vt:variant>
        <vt:i4>35</vt:i4>
      </vt:variant>
      <vt:variant>
        <vt:i4>0</vt:i4>
      </vt:variant>
      <vt:variant>
        <vt:i4>5</vt:i4>
      </vt:variant>
      <vt:variant>
        <vt:lpwstr/>
      </vt:variant>
      <vt:variant>
        <vt:lpwstr>_Toc68598973</vt:lpwstr>
      </vt:variant>
      <vt:variant>
        <vt:i4>1900604</vt:i4>
      </vt:variant>
      <vt:variant>
        <vt:i4>29</vt:i4>
      </vt:variant>
      <vt:variant>
        <vt:i4>0</vt:i4>
      </vt:variant>
      <vt:variant>
        <vt:i4>5</vt:i4>
      </vt:variant>
      <vt:variant>
        <vt:lpwstr/>
      </vt:variant>
      <vt:variant>
        <vt:lpwstr>_Toc68598972</vt:lpwstr>
      </vt:variant>
      <vt:variant>
        <vt:i4>1966140</vt:i4>
      </vt:variant>
      <vt:variant>
        <vt:i4>23</vt:i4>
      </vt:variant>
      <vt:variant>
        <vt:i4>0</vt:i4>
      </vt:variant>
      <vt:variant>
        <vt:i4>5</vt:i4>
      </vt:variant>
      <vt:variant>
        <vt:lpwstr/>
      </vt:variant>
      <vt:variant>
        <vt:lpwstr>_Toc68598971</vt:lpwstr>
      </vt:variant>
      <vt:variant>
        <vt:i4>2031676</vt:i4>
      </vt:variant>
      <vt:variant>
        <vt:i4>17</vt:i4>
      </vt:variant>
      <vt:variant>
        <vt:i4>0</vt:i4>
      </vt:variant>
      <vt:variant>
        <vt:i4>5</vt:i4>
      </vt:variant>
      <vt:variant>
        <vt:lpwstr/>
      </vt:variant>
      <vt:variant>
        <vt:lpwstr>_Toc68598970</vt:lpwstr>
      </vt:variant>
      <vt:variant>
        <vt:i4>1441853</vt:i4>
      </vt:variant>
      <vt:variant>
        <vt:i4>11</vt:i4>
      </vt:variant>
      <vt:variant>
        <vt:i4>0</vt:i4>
      </vt:variant>
      <vt:variant>
        <vt:i4>5</vt:i4>
      </vt:variant>
      <vt:variant>
        <vt:lpwstr/>
      </vt:variant>
      <vt:variant>
        <vt:lpwstr>_Toc68598969</vt:lpwstr>
      </vt:variant>
      <vt:variant>
        <vt:i4>1507389</vt:i4>
      </vt:variant>
      <vt:variant>
        <vt:i4>5</vt:i4>
      </vt:variant>
      <vt:variant>
        <vt:i4>0</vt:i4>
      </vt:variant>
      <vt:variant>
        <vt:i4>5</vt:i4>
      </vt:variant>
      <vt:variant>
        <vt:lpwstr/>
      </vt:variant>
      <vt:variant>
        <vt:lpwstr>_Toc68598968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12</cp:revision>
  <dcterms:created xsi:type="dcterms:W3CDTF">2021-01-05T18:11:00Z</dcterms:created>
  <dcterms:modified xsi:type="dcterms:W3CDTF">2021-05-12T15:13:00Z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